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4EA5D9" w14:textId="77777777" w:rsidR="00440480" w:rsidRPr="00440480" w:rsidRDefault="00440480" w:rsidP="00440480">
      <w:pPr>
        <w:jc w:val="center"/>
        <w:rPr>
          <w:b/>
          <w:sz w:val="24"/>
        </w:rPr>
      </w:pPr>
      <w:bookmarkStart w:id="0" w:name="_GoBack"/>
      <w:bookmarkEnd w:id="0"/>
      <w:r w:rsidRPr="00440480">
        <w:rPr>
          <w:rFonts w:hint="eastAsia"/>
          <w:b/>
          <w:sz w:val="24"/>
        </w:rPr>
        <w:t>震災時等における被災地でのガソリン等の運搬、貯蔵及び取扱い上の留意事項</w:t>
      </w:r>
    </w:p>
    <w:p w14:paraId="3B4EA5DA" w14:textId="77777777" w:rsidR="00440480" w:rsidRDefault="00440480" w:rsidP="00440480">
      <w:pPr>
        <w:jc w:val="center"/>
      </w:pPr>
      <w:r>
        <w:rPr>
          <w:rFonts w:hint="eastAsia"/>
        </w:rPr>
        <w:t>【ガソリン等の火災危険性を踏まえた貯蔵・取扱時の留意事項】</w:t>
      </w:r>
    </w:p>
    <w:p w14:paraId="3B4EA5DB" w14:textId="77777777" w:rsidR="00440480" w:rsidRDefault="00440480" w:rsidP="00440480">
      <w:r>
        <w:rPr>
          <w:rFonts w:hint="eastAsia"/>
        </w:rPr>
        <w:t>《ガソリンの特性》</w:t>
      </w:r>
    </w:p>
    <w:tbl>
      <w:tblPr>
        <w:tblStyle w:val="a5"/>
        <w:tblW w:w="0" w:type="auto"/>
        <w:tblLook w:val="04A0" w:firstRow="1" w:lastRow="0" w:firstColumn="1" w:lastColumn="0" w:noHBand="0" w:noVBand="1"/>
      </w:tblPr>
      <w:tblGrid>
        <w:gridCol w:w="9180"/>
      </w:tblGrid>
      <w:tr w:rsidR="00440480" w14:paraId="3B4EA5DF" w14:textId="77777777" w:rsidTr="00440480">
        <w:tc>
          <w:tcPr>
            <w:tcW w:w="9180" w:type="dxa"/>
          </w:tcPr>
          <w:p w14:paraId="3B4EA5DC" w14:textId="77777777" w:rsidR="00440480" w:rsidRDefault="00440480" w:rsidP="00440480">
            <w:r>
              <w:rPr>
                <w:rFonts w:hint="eastAsia"/>
              </w:rPr>
              <w:t>・</w:t>
            </w:r>
            <w:r>
              <w:rPr>
                <w:rFonts w:hint="eastAsia"/>
              </w:rPr>
              <w:t xml:space="preserve"> </w:t>
            </w:r>
            <w:r>
              <w:rPr>
                <w:rFonts w:hint="eastAsia"/>
              </w:rPr>
              <w:t>引火点は－４０℃程度と低く、極めて引火しやすい。</w:t>
            </w:r>
          </w:p>
          <w:p w14:paraId="3B4EA5DD" w14:textId="77777777" w:rsidR="00440480" w:rsidRDefault="00440480" w:rsidP="00440480">
            <w:r>
              <w:rPr>
                <w:rFonts w:hint="eastAsia"/>
              </w:rPr>
              <w:t>・</w:t>
            </w:r>
            <w:r>
              <w:rPr>
                <w:rFonts w:hint="eastAsia"/>
              </w:rPr>
              <w:t xml:space="preserve"> </w:t>
            </w:r>
            <w:r>
              <w:rPr>
                <w:rFonts w:hint="eastAsia"/>
              </w:rPr>
              <w:t>ガソリン蒸気は空気より約３～４倍重いので、低所に滞留しやすい。</w:t>
            </w:r>
          </w:p>
          <w:p w14:paraId="3B4EA5DE" w14:textId="77777777" w:rsidR="00440480" w:rsidRDefault="00440480" w:rsidP="00440480">
            <w:r>
              <w:rPr>
                <w:rFonts w:hint="eastAsia"/>
              </w:rPr>
              <w:t>・</w:t>
            </w:r>
            <w:r>
              <w:rPr>
                <w:rFonts w:hint="eastAsia"/>
              </w:rPr>
              <w:t xml:space="preserve"> </w:t>
            </w:r>
            <w:r>
              <w:rPr>
                <w:rFonts w:hint="eastAsia"/>
              </w:rPr>
              <w:t>電気の不良導体であるため、流動等の際に静電気を発生しやすい。</w:t>
            </w:r>
          </w:p>
        </w:tc>
      </w:tr>
    </w:tbl>
    <w:p w14:paraId="3B4EA5E0" w14:textId="77777777" w:rsidR="00440480" w:rsidRDefault="00440480" w:rsidP="00440480">
      <w:r>
        <w:rPr>
          <w:rFonts w:hint="eastAsia"/>
          <w:noProof/>
        </w:rPr>
        <mc:AlternateContent>
          <mc:Choice Requires="wps">
            <w:drawing>
              <wp:anchor distT="0" distB="0" distL="114300" distR="114300" simplePos="0" relativeHeight="251659264" behindDoc="0" locked="0" layoutInCell="1" allowOverlap="1" wp14:anchorId="3B4EA620" wp14:editId="3B4EA621">
                <wp:simplePos x="0" y="0"/>
                <wp:positionH relativeFrom="column">
                  <wp:posOffset>2395220</wp:posOffset>
                </wp:positionH>
                <wp:positionV relativeFrom="paragraph">
                  <wp:posOffset>59690</wp:posOffset>
                </wp:positionV>
                <wp:extent cx="495300" cy="314325"/>
                <wp:effectExtent l="38100" t="0" r="0" b="47625"/>
                <wp:wrapNone/>
                <wp:docPr id="5" name="下矢印 5"/>
                <wp:cNvGraphicFramePr/>
                <a:graphic xmlns:a="http://schemas.openxmlformats.org/drawingml/2006/main">
                  <a:graphicData uri="http://schemas.microsoft.com/office/word/2010/wordprocessingShape">
                    <wps:wsp>
                      <wps:cNvSpPr/>
                      <wps:spPr>
                        <a:xfrm>
                          <a:off x="0" y="0"/>
                          <a:ext cx="495300" cy="314325"/>
                        </a:xfrm>
                        <a:prstGeom prst="downArrow">
                          <a:avLst/>
                        </a:prstGeom>
                        <a:solidFill>
                          <a:schemeClr val="tx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下矢印 5" o:spid="_x0000_s1026" type="#_x0000_t67" style="position:absolute;left:0;text-align:left;margin-left:188.6pt;margin-top:4.7pt;width:39pt;height:24.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" adj="10800" fillcolor="black [3213]" strokecolor="white [3212]" strokeweight="2pt"/>
            </w:pict>
          </mc:Fallback>
        </mc:AlternateContent>
      </w:r>
    </w:p>
    <w:p w14:paraId="3B4EA5E1" w14:textId="77777777" w:rsidR="00440480" w:rsidRDefault="00440480" w:rsidP="00440480"/>
    <w:tbl>
      <w:tblPr>
        <w:tblStyle w:val="a5"/>
        <w:tblW w:w="0" w:type="auto"/>
        <w:tblLook w:val="04A0" w:firstRow="1" w:lastRow="0" w:firstColumn="1" w:lastColumn="0" w:noHBand="0" w:noVBand="1"/>
      </w:tblPr>
      <w:tblGrid>
        <w:gridCol w:w="4351"/>
        <w:gridCol w:w="4829"/>
      </w:tblGrid>
      <w:tr w:rsidR="00440480" w14:paraId="3B4EA5EA" w14:textId="77777777" w:rsidTr="00440480">
        <w:tc>
          <w:tcPr>
            <w:tcW w:w="9180" w:type="dxa"/>
            <w:gridSpan w:val="2"/>
          </w:tcPr>
          <w:p w14:paraId="3B4EA5E2" w14:textId="77777777" w:rsidR="00440480" w:rsidRPr="00440480" w:rsidRDefault="00440480" w:rsidP="00440480">
            <w:pPr>
              <w:rPr>
                <w:b/>
                <w:sz w:val="22"/>
              </w:rPr>
            </w:pPr>
            <w:r w:rsidRPr="00440480">
              <w:rPr>
                <w:rFonts w:hint="eastAsia"/>
                <w:b/>
                <w:sz w:val="22"/>
              </w:rPr>
              <w:t>・</w:t>
            </w:r>
            <w:r w:rsidRPr="00440480">
              <w:rPr>
                <w:rFonts w:hint="eastAsia"/>
                <w:b/>
                <w:sz w:val="22"/>
              </w:rPr>
              <w:t xml:space="preserve"> </w:t>
            </w:r>
            <w:r w:rsidRPr="00440480">
              <w:rPr>
                <w:rFonts w:hint="eastAsia"/>
                <w:b/>
                <w:sz w:val="22"/>
              </w:rPr>
              <w:t>ガソリンを取り扱っている周辺で火気や火花を発する機械器具等を用いないでください。</w:t>
            </w:r>
          </w:p>
          <w:p w14:paraId="3B4EA5E3" w14:textId="77777777" w:rsidR="00440480" w:rsidRDefault="00440480" w:rsidP="00440480">
            <w:r>
              <w:rPr>
                <w:rFonts w:hint="eastAsia"/>
              </w:rPr>
              <w:t xml:space="preserve">　ガソリンを取り扱っている場所から１ｍ離れた場所に置かれた洗濯機で火災に至った事例や、火気や火花がなくても人体に蓄積された静電気で火災に至った事例が報告されており、ガソリンを取り扱う場合は細心の注意を払わないと容易に火災に至る危険性があります。</w:t>
            </w:r>
          </w:p>
          <w:p w14:paraId="3B4EA5E4" w14:textId="77777777" w:rsidR="00440480" w:rsidRPr="00440480" w:rsidRDefault="00440480" w:rsidP="00440480">
            <w:pPr>
              <w:rPr>
                <w:b/>
                <w:sz w:val="22"/>
              </w:rPr>
            </w:pPr>
            <w:r w:rsidRPr="00440480">
              <w:rPr>
                <w:rFonts w:hint="eastAsia"/>
                <w:b/>
                <w:sz w:val="22"/>
              </w:rPr>
              <w:t>・</w:t>
            </w:r>
            <w:r w:rsidRPr="00440480">
              <w:rPr>
                <w:rFonts w:hint="eastAsia"/>
                <w:b/>
                <w:sz w:val="22"/>
              </w:rPr>
              <w:t xml:space="preserve"> </w:t>
            </w:r>
            <w:r w:rsidRPr="00440480">
              <w:rPr>
                <w:rFonts w:hint="eastAsia"/>
                <w:b/>
                <w:sz w:val="22"/>
              </w:rPr>
              <w:t>静電気による着火を防止するためには、金属製容器で貯蔵するとともに、地面に直接置くなど静電気の蓄積を防ぐ必要があるほか、移し替えは流動時の静電気の蓄積を防ぐため、ガソリンに適用した配管で行う必要があります。</w:t>
            </w:r>
          </w:p>
          <w:p w14:paraId="3B4EA5E5" w14:textId="77777777" w:rsidR="00440480" w:rsidRPr="00440480" w:rsidRDefault="00440480" w:rsidP="00440480">
            <w:pPr>
              <w:rPr>
                <w:b/>
                <w:sz w:val="22"/>
              </w:rPr>
            </w:pPr>
            <w:r w:rsidRPr="00440480">
              <w:rPr>
                <w:rFonts w:hint="eastAsia"/>
                <w:b/>
                <w:sz w:val="22"/>
              </w:rPr>
              <w:t>・</w:t>
            </w:r>
            <w:r w:rsidRPr="00440480">
              <w:rPr>
                <w:rFonts w:hint="eastAsia"/>
                <w:b/>
                <w:sz w:val="22"/>
              </w:rPr>
              <w:t xml:space="preserve"> </w:t>
            </w:r>
            <w:r w:rsidRPr="00440480">
              <w:rPr>
                <w:rFonts w:hint="eastAsia"/>
                <w:b/>
                <w:sz w:val="22"/>
              </w:rPr>
              <w:t>ガソリン容器からガソリン蒸気が流出しないように、容器は密栓するとともに、ガソリンの貯蔵や取扱いを行う場所は火気や高温部から離れた直射日光の当たらない通風、換気の良い場所としてください。</w:t>
            </w:r>
          </w:p>
          <w:p w14:paraId="3B4EA5E6" w14:textId="77777777" w:rsidR="00440480" w:rsidRDefault="00440480" w:rsidP="00440480">
            <w:r>
              <w:rPr>
                <w:rFonts w:hint="eastAsia"/>
              </w:rPr>
              <w:t xml:space="preserve">　特に夏期においてはガソリン温度が上がってガソリン蒸気圧が高くなる可能性があることに留意しましょう。</w:t>
            </w:r>
          </w:p>
          <w:p w14:paraId="3B4EA5E7" w14:textId="77777777" w:rsidR="00440480" w:rsidRPr="00440480" w:rsidRDefault="00440480" w:rsidP="00440480">
            <w:pPr>
              <w:rPr>
                <w:b/>
                <w:sz w:val="22"/>
              </w:rPr>
            </w:pPr>
            <w:r w:rsidRPr="00440480">
              <w:rPr>
                <w:rFonts w:hint="eastAsia"/>
                <w:b/>
                <w:sz w:val="22"/>
              </w:rPr>
              <w:t>・</w:t>
            </w:r>
            <w:r w:rsidRPr="00440480">
              <w:rPr>
                <w:rFonts w:hint="eastAsia"/>
                <w:b/>
                <w:sz w:val="22"/>
              </w:rPr>
              <w:t xml:space="preserve"> </w:t>
            </w:r>
            <w:r w:rsidRPr="00440480">
              <w:rPr>
                <w:rFonts w:hint="eastAsia"/>
                <w:b/>
                <w:sz w:val="22"/>
              </w:rPr>
              <w:t>取扱いの際には、開口前のエア抜きの操作等、取扱説明書等に書かれた容器の操作方法に従い、こぼれ・あふれ等がないよう細心の注意を払ってください。</w:t>
            </w:r>
          </w:p>
          <w:p w14:paraId="3B4EA5E8" w14:textId="77777777" w:rsidR="00440480" w:rsidRDefault="00440480" w:rsidP="00440480">
            <w:r>
              <w:rPr>
                <w:rFonts w:hint="eastAsia"/>
              </w:rPr>
              <w:t xml:space="preserve">　万一流出させてしまった場合には少量であっても回収・除去を行うとともに周囲の火気使用禁止や立入りの制限等が必要です。必要に応じて消火器を準備しておきましょう。また、衣服や身体に付着した場合は、直ちに衣服を脱いで可能であれば大量の水と石けんで洗い流しましょう。</w:t>
            </w:r>
          </w:p>
          <w:p w14:paraId="3B4EA5E9" w14:textId="77777777" w:rsidR="00440480" w:rsidRPr="00440480" w:rsidRDefault="00440480" w:rsidP="00440480">
            <w:pPr>
              <w:rPr>
                <w:b/>
              </w:rPr>
            </w:pPr>
            <w:r w:rsidRPr="00440480">
              <w:rPr>
                <w:rFonts w:hint="eastAsia"/>
                <w:b/>
                <w:sz w:val="22"/>
              </w:rPr>
              <w:t>・</w:t>
            </w:r>
            <w:r w:rsidRPr="00440480">
              <w:rPr>
                <w:rFonts w:hint="eastAsia"/>
                <w:b/>
                <w:sz w:val="22"/>
              </w:rPr>
              <w:t xml:space="preserve"> </w:t>
            </w:r>
            <w:r w:rsidRPr="00440480">
              <w:rPr>
                <w:rFonts w:hint="eastAsia"/>
                <w:b/>
                <w:sz w:val="22"/>
              </w:rPr>
              <w:t>ガソリン使用機器の取扱説明書等に記載された安全上の留意事項を厳守し、特にエンジン稼働中の給油は絶対に行わないようにしましょう。</w:t>
            </w:r>
          </w:p>
        </w:tc>
      </w:tr>
      <w:tr w:rsidR="00440480" w14:paraId="3B4EA5F1" w14:textId="77777777" w:rsidTr="00440480">
        <w:tc>
          <w:tcPr>
            <w:tcW w:w="4351" w:type="dxa"/>
          </w:tcPr>
          <w:p w14:paraId="3B4EA5EB" w14:textId="77777777" w:rsidR="00440480" w:rsidRDefault="00440480" w:rsidP="00440480">
            <w:pPr>
              <w:autoSpaceDE w:val="0"/>
              <w:autoSpaceDN w:val="0"/>
              <w:adjustRightInd w:val="0"/>
              <w:jc w:val="center"/>
              <w:rPr>
                <w:rFonts w:ascii="ＭＳ 明朝" w:eastAsia="ＭＳ 明朝" w:cs="ＭＳ 明朝"/>
                <w:kern w:val="0"/>
                <w:szCs w:val="21"/>
              </w:rPr>
            </w:pPr>
            <w:r>
              <w:rPr>
                <w:rFonts w:ascii="ＭＳ 明朝" w:eastAsia="ＭＳ 明朝" w:cs="ＭＳ 明朝" w:hint="eastAsia"/>
                <w:noProof/>
                <w:kern w:val="0"/>
                <w:szCs w:val="21"/>
              </w:rPr>
              <w:drawing>
                <wp:inline distT="0" distB="0" distL="0" distR="0" wp14:anchorId="3B4EA622" wp14:editId="3B4EA623">
                  <wp:extent cx="1028700" cy="981012"/>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31321" cy="983511"/>
                          </a:xfrm>
                          <a:prstGeom prst="rect">
                            <a:avLst/>
                          </a:prstGeom>
                          <a:noFill/>
                          <a:ln>
                            <a:noFill/>
                          </a:ln>
                        </pic:spPr>
                      </pic:pic>
                    </a:graphicData>
                  </a:graphic>
                </wp:inline>
              </w:drawing>
            </w:r>
          </w:p>
          <w:p w14:paraId="3B4EA5EC" w14:textId="77777777" w:rsidR="00440480" w:rsidRDefault="00440480" w:rsidP="00440480">
            <w:pPr>
              <w:autoSpaceDE w:val="0"/>
              <w:autoSpaceDN w:val="0"/>
              <w:adjustRightInd w:val="0"/>
              <w:jc w:val="center"/>
              <w:rPr>
                <w:rFonts w:ascii="ＭＳ 明朝" w:eastAsia="ＭＳ 明朝" w:cs="ＭＳ 明朝"/>
                <w:kern w:val="0"/>
                <w:szCs w:val="21"/>
              </w:rPr>
            </w:pPr>
            <w:r>
              <w:rPr>
                <w:rFonts w:ascii="ＭＳ 明朝" w:eastAsia="ＭＳ 明朝" w:cs="ＭＳ 明朝" w:hint="eastAsia"/>
                <w:kern w:val="0"/>
                <w:szCs w:val="21"/>
              </w:rPr>
              <w:t>ガソリンの貯蔵に適した容器の例</w:t>
            </w:r>
          </w:p>
          <w:p w14:paraId="3B4EA5ED" w14:textId="77777777" w:rsidR="00440480" w:rsidRDefault="00440480" w:rsidP="00440480">
            <w:pPr>
              <w:jc w:val="center"/>
            </w:pPr>
            <w:r>
              <w:rPr>
                <w:rFonts w:ascii="ＭＳ 明朝" w:eastAsia="ＭＳ 明朝" w:cs="ＭＳ 明朝" w:hint="eastAsia"/>
                <w:kern w:val="0"/>
                <w:szCs w:val="21"/>
              </w:rPr>
              <w:t>（金属製容器であることが必要）</w:t>
            </w:r>
          </w:p>
        </w:tc>
        <w:tc>
          <w:tcPr>
            <w:tcW w:w="4829" w:type="dxa"/>
          </w:tcPr>
          <w:p w14:paraId="3B4EA5EE" w14:textId="77777777" w:rsidR="00440480" w:rsidRDefault="00440480" w:rsidP="00440480">
            <w:pPr>
              <w:autoSpaceDE w:val="0"/>
              <w:autoSpaceDN w:val="0"/>
              <w:adjustRightInd w:val="0"/>
              <w:jc w:val="center"/>
              <w:rPr>
                <w:rFonts w:ascii="ＭＳ 明朝" w:eastAsia="ＭＳ 明朝" w:cs="ＭＳ 明朝"/>
                <w:kern w:val="0"/>
                <w:szCs w:val="21"/>
              </w:rPr>
            </w:pPr>
            <w:r>
              <w:rPr>
                <w:rFonts w:ascii="ＭＳ 明朝" w:eastAsia="ＭＳ 明朝" w:cs="ＭＳ 明朝" w:hint="eastAsia"/>
                <w:noProof/>
                <w:kern w:val="0"/>
                <w:szCs w:val="21"/>
              </w:rPr>
              <w:drawing>
                <wp:inline distT="0" distB="0" distL="0" distR="0" wp14:anchorId="3B4EA624" wp14:editId="3B4EA625">
                  <wp:extent cx="1924050" cy="1109158"/>
                  <wp:effectExtent l="0" t="0" r="0"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24050" cy="1109158"/>
                          </a:xfrm>
                          <a:prstGeom prst="rect">
                            <a:avLst/>
                          </a:prstGeom>
                          <a:noFill/>
                          <a:ln>
                            <a:noFill/>
                          </a:ln>
                        </pic:spPr>
                      </pic:pic>
                    </a:graphicData>
                  </a:graphic>
                </wp:inline>
              </w:drawing>
            </w:r>
          </w:p>
          <w:p w14:paraId="3B4EA5EF" w14:textId="77777777" w:rsidR="00440480" w:rsidRDefault="00440480" w:rsidP="00440480">
            <w:pPr>
              <w:autoSpaceDE w:val="0"/>
              <w:autoSpaceDN w:val="0"/>
              <w:adjustRightInd w:val="0"/>
              <w:jc w:val="center"/>
              <w:rPr>
                <w:rFonts w:ascii="ＭＳ 明朝" w:eastAsia="ＭＳ 明朝" w:cs="ＭＳ 明朝"/>
                <w:kern w:val="0"/>
                <w:szCs w:val="21"/>
              </w:rPr>
            </w:pPr>
            <w:r>
              <w:rPr>
                <w:rFonts w:ascii="ＭＳ 明朝" w:eastAsia="ＭＳ 明朝" w:cs="ＭＳ 明朝" w:hint="eastAsia"/>
                <w:kern w:val="0"/>
                <w:szCs w:val="21"/>
              </w:rPr>
              <w:t>ガソリンの貯蔵に適さない容器の例</w:t>
            </w:r>
          </w:p>
          <w:p w14:paraId="3B4EA5F0" w14:textId="77777777" w:rsidR="00440480" w:rsidRDefault="00440480" w:rsidP="00440480">
            <w:pPr>
              <w:jc w:val="center"/>
            </w:pPr>
            <w:r>
              <w:rPr>
                <w:rFonts w:ascii="ＭＳ 明朝" w:eastAsia="ＭＳ 明朝" w:cs="ＭＳ 明朝" w:hint="eastAsia"/>
                <w:kern w:val="0"/>
                <w:szCs w:val="21"/>
              </w:rPr>
              <w:t>（樹脂製容器は火災危険性が高い）</w:t>
            </w:r>
          </w:p>
        </w:tc>
      </w:tr>
    </w:tbl>
    <w:p w14:paraId="3B4EA5F2" w14:textId="77777777" w:rsidR="00440480" w:rsidRDefault="00440480" w:rsidP="00440480">
      <w:pPr>
        <w:sectPr w:rsidR="00440480" w:rsidSect="00440480">
          <w:headerReference w:type="even" r:id="rId13"/>
          <w:headerReference w:type="default" r:id="rId14"/>
          <w:footerReference w:type="even" r:id="rId15"/>
          <w:footerReference w:type="default" r:id="rId16"/>
          <w:headerReference w:type="first" r:id="rId17"/>
          <w:footerReference w:type="first" r:id="rId18"/>
          <w:pgSz w:w="11906" w:h="16838"/>
          <w:pgMar w:top="1701" w:right="1418" w:bottom="1418" w:left="1418" w:header="851" w:footer="992" w:gutter="0"/>
          <w:cols w:space="425"/>
          <w:docGrid w:type="lines" w:linePitch="360"/>
        </w:sectPr>
      </w:pPr>
    </w:p>
    <w:p w14:paraId="3B4EA5F3" w14:textId="77777777" w:rsidR="00440480" w:rsidRPr="001F5519" w:rsidRDefault="00440480" w:rsidP="00440480">
      <w:pPr>
        <w:rPr>
          <w:sz w:val="22"/>
        </w:rPr>
      </w:pPr>
      <w:r w:rsidRPr="001F5519">
        <w:rPr>
          <w:rFonts w:hint="eastAsia"/>
          <w:sz w:val="22"/>
        </w:rPr>
        <w:lastRenderedPageBreak/>
        <w:t>《灯油・軽油の特性》</w:t>
      </w:r>
    </w:p>
    <w:tbl>
      <w:tblPr>
        <w:tblStyle w:val="a5"/>
        <w:tblW w:w="0" w:type="auto"/>
        <w:tblLook w:val="04A0" w:firstRow="1" w:lastRow="0" w:firstColumn="1" w:lastColumn="0" w:noHBand="0" w:noVBand="1"/>
      </w:tblPr>
      <w:tblGrid>
        <w:gridCol w:w="9268"/>
      </w:tblGrid>
      <w:tr w:rsidR="00440480" w14:paraId="3B4EA5F7" w14:textId="77777777" w:rsidTr="00440480">
        <w:tc>
          <w:tcPr>
            <w:tcW w:w="9268" w:type="dxa"/>
          </w:tcPr>
          <w:p w14:paraId="3B4EA5F4" w14:textId="77777777" w:rsidR="00440480" w:rsidRDefault="00440480" w:rsidP="00440480">
            <w:r>
              <w:rPr>
                <w:rFonts w:hint="eastAsia"/>
              </w:rPr>
              <w:t>・</w:t>
            </w:r>
            <w:r>
              <w:rPr>
                <w:rFonts w:hint="eastAsia"/>
              </w:rPr>
              <w:t xml:space="preserve"> </w:t>
            </w:r>
            <w:r>
              <w:rPr>
                <w:rFonts w:hint="eastAsia"/>
              </w:rPr>
              <w:t>引火点は４０℃～４５℃程度であり、引火しやすい。</w:t>
            </w:r>
          </w:p>
          <w:p w14:paraId="3B4EA5F5" w14:textId="77777777" w:rsidR="00440480" w:rsidRDefault="00440480" w:rsidP="00440480">
            <w:r>
              <w:rPr>
                <w:rFonts w:hint="eastAsia"/>
              </w:rPr>
              <w:t>・</w:t>
            </w:r>
            <w:r>
              <w:rPr>
                <w:rFonts w:hint="eastAsia"/>
              </w:rPr>
              <w:t xml:space="preserve"> </w:t>
            </w:r>
            <w:r>
              <w:rPr>
                <w:rFonts w:hint="eastAsia"/>
              </w:rPr>
              <w:t>灯油や軽油の蒸気は空気より約４～５倍重いので、低所に滞留しやすい。</w:t>
            </w:r>
          </w:p>
          <w:p w14:paraId="3B4EA5F6" w14:textId="77777777" w:rsidR="00440480" w:rsidRDefault="00440480" w:rsidP="00440480">
            <w:r>
              <w:rPr>
                <w:rFonts w:hint="eastAsia"/>
              </w:rPr>
              <w:t>・</w:t>
            </w:r>
            <w:r>
              <w:rPr>
                <w:rFonts w:hint="eastAsia"/>
              </w:rPr>
              <w:t xml:space="preserve"> </w:t>
            </w:r>
            <w:r>
              <w:rPr>
                <w:rFonts w:hint="eastAsia"/>
              </w:rPr>
              <w:t>流動等の際に静電気を発生しやすい。</w:t>
            </w:r>
          </w:p>
        </w:tc>
      </w:tr>
    </w:tbl>
    <w:p w14:paraId="3B4EA5F8" w14:textId="77777777" w:rsidR="00440480" w:rsidRDefault="00440480" w:rsidP="00440480"/>
    <w:p w14:paraId="3B4EA5F9" w14:textId="77777777" w:rsidR="00440480" w:rsidRDefault="00440480" w:rsidP="00440480"/>
    <w:tbl>
      <w:tblPr>
        <w:tblStyle w:val="a5"/>
        <w:tblW w:w="0" w:type="auto"/>
        <w:tblLook w:val="04A0" w:firstRow="1" w:lastRow="0" w:firstColumn="1" w:lastColumn="0" w:noHBand="0" w:noVBand="1"/>
      </w:tblPr>
      <w:tblGrid>
        <w:gridCol w:w="9268"/>
      </w:tblGrid>
      <w:tr w:rsidR="00440480" w14:paraId="3B4EA5FF" w14:textId="77777777" w:rsidTr="00440480">
        <w:tc>
          <w:tcPr>
            <w:tcW w:w="9268" w:type="dxa"/>
          </w:tcPr>
          <w:p w14:paraId="3B4EA5FA" w14:textId="77777777" w:rsidR="00440480" w:rsidRPr="001F5519" w:rsidRDefault="00440480" w:rsidP="00440480">
            <w:pPr>
              <w:rPr>
                <w:b/>
                <w:sz w:val="22"/>
              </w:rPr>
            </w:pPr>
            <w:r w:rsidRPr="001F5519">
              <w:rPr>
                <w:rFonts w:hint="eastAsia"/>
                <w:b/>
                <w:sz w:val="22"/>
              </w:rPr>
              <w:t>・</w:t>
            </w:r>
            <w:r w:rsidRPr="001F5519">
              <w:rPr>
                <w:rFonts w:hint="eastAsia"/>
                <w:b/>
                <w:sz w:val="22"/>
              </w:rPr>
              <w:t xml:space="preserve"> </w:t>
            </w:r>
            <w:r w:rsidRPr="001F5519">
              <w:rPr>
                <w:rFonts w:hint="eastAsia"/>
                <w:b/>
                <w:sz w:val="22"/>
              </w:rPr>
              <w:t>灯油や軽油を取り扱っている周辺で火気や火花を発する機械器具等を用いないでください。</w:t>
            </w:r>
          </w:p>
          <w:p w14:paraId="3B4EA5FB" w14:textId="77777777" w:rsidR="00440480" w:rsidRDefault="001F5519" w:rsidP="00440480">
            <w:r>
              <w:rPr>
                <w:rFonts w:hint="eastAsia"/>
              </w:rPr>
              <w:t xml:space="preserve">　</w:t>
            </w:r>
            <w:r w:rsidR="00440480">
              <w:rPr>
                <w:rFonts w:hint="eastAsia"/>
              </w:rPr>
              <w:t>灯油や軽油から発生する可燃性蒸気の量はガソリンより少ないため、ガソリンと比べれば火災危険性は低いものの灯油や軽油の近くに火気等があれば火災に至る危険性があることには変わりなく、灯油や軽油を取り扱う場合は、ガソリンと同様に細心の注意を払う必要があります。</w:t>
            </w:r>
          </w:p>
          <w:p w14:paraId="3B4EA5FC" w14:textId="77777777" w:rsidR="00440480" w:rsidRPr="001F5519" w:rsidRDefault="00440480" w:rsidP="00440480">
            <w:pPr>
              <w:rPr>
                <w:b/>
                <w:sz w:val="22"/>
              </w:rPr>
            </w:pPr>
            <w:r w:rsidRPr="001F5519">
              <w:rPr>
                <w:rFonts w:hint="eastAsia"/>
                <w:b/>
                <w:sz w:val="22"/>
              </w:rPr>
              <w:t>・</w:t>
            </w:r>
            <w:r w:rsidRPr="001F5519">
              <w:rPr>
                <w:rFonts w:hint="eastAsia"/>
                <w:b/>
                <w:sz w:val="22"/>
              </w:rPr>
              <w:t xml:space="preserve"> </w:t>
            </w:r>
            <w:r w:rsidRPr="001F5519">
              <w:rPr>
                <w:rFonts w:hint="eastAsia"/>
                <w:b/>
                <w:sz w:val="22"/>
              </w:rPr>
              <w:t>常温において、灯油用のポリエチレンタンクや樹脂製の灯油用給油ポンプの使用は問題ありませんが、液温が高くなる（４０℃以上）環境下で用いる場合は、灯油に蓄積された静電気で火災に至る危険性があることに留意する必要があります。</w:t>
            </w:r>
          </w:p>
          <w:p w14:paraId="3B4EA5FD" w14:textId="77777777" w:rsidR="00440480" w:rsidRDefault="001F5519" w:rsidP="00440480">
            <w:r>
              <w:rPr>
                <w:rFonts w:hint="eastAsia"/>
              </w:rPr>
              <w:t xml:space="preserve">　</w:t>
            </w:r>
            <w:r w:rsidR="00440480">
              <w:rPr>
                <w:rFonts w:hint="eastAsia"/>
              </w:rPr>
              <w:t>ガソリンほどではありませんが、灯油や軽油も流動等の際に静電気を発生しやすい性質があります。また、灯油や軽油も蒸気と空気の混合率が一定範囲内（</w:t>
            </w:r>
            <w:r w:rsidR="00440480">
              <w:rPr>
                <w:rFonts w:hint="eastAsia"/>
              </w:rPr>
              <w:t>1.0vol</w:t>
            </w:r>
            <w:r w:rsidR="00440480">
              <w:rPr>
                <w:rFonts w:hint="eastAsia"/>
              </w:rPr>
              <w:t>％～</w:t>
            </w:r>
            <w:r w:rsidR="00440480">
              <w:rPr>
                <w:rFonts w:hint="eastAsia"/>
              </w:rPr>
              <w:t>6.0vol</w:t>
            </w:r>
            <w:r w:rsidR="00440480">
              <w:rPr>
                <w:rFonts w:hint="eastAsia"/>
              </w:rPr>
              <w:t>％と広範囲）で燃えます。</w:t>
            </w:r>
          </w:p>
          <w:p w14:paraId="3B4EA5FE" w14:textId="77777777" w:rsidR="00440480" w:rsidRPr="001F5519" w:rsidRDefault="00440480" w:rsidP="001F5519">
            <w:pPr>
              <w:rPr>
                <w:b/>
              </w:rPr>
            </w:pPr>
            <w:r w:rsidRPr="001F5519">
              <w:rPr>
                <w:rFonts w:hint="eastAsia"/>
                <w:b/>
                <w:sz w:val="22"/>
              </w:rPr>
              <w:t>・</w:t>
            </w:r>
            <w:r w:rsidRPr="001F5519">
              <w:rPr>
                <w:rFonts w:hint="eastAsia"/>
                <w:b/>
                <w:sz w:val="22"/>
              </w:rPr>
              <w:t xml:space="preserve"> </w:t>
            </w:r>
            <w:r w:rsidRPr="001F5519">
              <w:rPr>
                <w:rFonts w:hint="eastAsia"/>
                <w:b/>
                <w:sz w:val="22"/>
              </w:rPr>
              <w:t>灯油や軽油の容器から灯油や軽油の蒸気が流出しないように、容器は密栓するとともに、灯油や軽油の貯蔵や取扱いを行う場所は通風、換気を良くしましょう。</w:t>
            </w:r>
          </w:p>
        </w:tc>
      </w:tr>
    </w:tbl>
    <w:p w14:paraId="3B4EA600" w14:textId="77777777" w:rsidR="001F5519" w:rsidRDefault="001F5519" w:rsidP="00440480">
      <w:pPr>
        <w:sectPr w:rsidR="001F5519" w:rsidSect="00440480">
          <w:pgSz w:w="11906" w:h="16838"/>
          <w:pgMar w:top="1701" w:right="1418" w:bottom="1418" w:left="1418" w:header="851" w:footer="992" w:gutter="0"/>
          <w:cols w:space="425"/>
          <w:docGrid w:type="lines" w:linePitch="360"/>
        </w:sectPr>
      </w:pPr>
    </w:p>
    <w:p w14:paraId="3B4EA601" w14:textId="77777777" w:rsidR="001F5519" w:rsidRPr="001F5519" w:rsidRDefault="001F5519" w:rsidP="001F5519">
      <w:pPr>
        <w:jc w:val="center"/>
        <w:rPr>
          <w:b/>
          <w:sz w:val="24"/>
        </w:rPr>
      </w:pPr>
      <w:r w:rsidRPr="001F5519">
        <w:rPr>
          <w:rFonts w:hint="eastAsia"/>
          <w:b/>
          <w:sz w:val="24"/>
        </w:rPr>
        <w:lastRenderedPageBreak/>
        <w:t>【自動車のガソリン等を抜き取って使用することは危険です】</w:t>
      </w:r>
    </w:p>
    <w:p w14:paraId="3B4EA602" w14:textId="77777777" w:rsidR="001F5519" w:rsidRDefault="001F5519" w:rsidP="001F5519"/>
    <w:p w14:paraId="3B4EA603" w14:textId="77777777" w:rsidR="001F5519" w:rsidRDefault="001F5519" w:rsidP="001F5519">
      <w:pPr>
        <w:ind w:firstLineChars="100" w:firstLine="210"/>
      </w:pPr>
      <w:r>
        <w:rPr>
          <w:rFonts w:hint="eastAsia"/>
        </w:rPr>
        <w:t>ガソリンの引火点は－４０℃程度と非常に低く、ガソリンスタンドにおいても静電気による火災が発生する事例が発生しています。</w:t>
      </w:r>
    </w:p>
    <w:p w14:paraId="3B4EA604" w14:textId="77777777" w:rsidR="001F5519" w:rsidRDefault="001F5519" w:rsidP="001F5519">
      <w:pPr>
        <w:ind w:firstLineChars="100" w:firstLine="210"/>
      </w:pPr>
      <w:r>
        <w:rPr>
          <w:rFonts w:hint="eastAsia"/>
        </w:rPr>
        <w:t>上の図は自動車に給油しようとした際に人体に帯電した静電気により火災が発生した事例であり、下の図はオイルチェンジャーを用いて自動車のガソリンを抜いていたところ火災に至った事例です。</w:t>
      </w:r>
    </w:p>
    <w:p w14:paraId="3B4EA605" w14:textId="77777777" w:rsidR="00440480" w:rsidRDefault="001F5519" w:rsidP="001F5519">
      <w:pPr>
        <w:ind w:firstLineChars="100" w:firstLine="210"/>
      </w:pPr>
      <w:r>
        <w:rPr>
          <w:rFonts w:hint="eastAsia"/>
        </w:rPr>
        <w:t>被災地において、仮に樹脂製の灯油用給油ポンプを用いて自動車からガソリンを抜き取った場合、ガソリン自身が帯電してしまい、火災に至る危険性はオイルチェンジャー以上に高く、非常に危険です。二次災害を防止する観点からも、控えてください。</w:t>
      </w:r>
    </w:p>
    <w:p w14:paraId="3B4EA606" w14:textId="77777777" w:rsidR="001F5519" w:rsidRDefault="001F5519" w:rsidP="001F5519">
      <w:pPr>
        <w:ind w:firstLineChars="100" w:firstLine="210"/>
      </w:pPr>
    </w:p>
    <w:tbl>
      <w:tblPr>
        <w:tblStyle w:val="a5"/>
        <w:tblW w:w="0" w:type="auto"/>
        <w:tblLook w:val="04A0" w:firstRow="1" w:lastRow="0" w:firstColumn="1" w:lastColumn="0" w:noHBand="0" w:noVBand="1"/>
      </w:tblPr>
      <w:tblGrid>
        <w:gridCol w:w="9286"/>
      </w:tblGrid>
      <w:tr w:rsidR="001F5519" w14:paraId="3B4EA60C" w14:textId="77777777" w:rsidTr="001F5519">
        <w:tc>
          <w:tcPr>
            <w:tcW w:w="9268" w:type="dxa"/>
          </w:tcPr>
          <w:p w14:paraId="3B4EA607" w14:textId="77777777" w:rsidR="001F5519" w:rsidRDefault="001F5519" w:rsidP="001F5519">
            <w:pPr>
              <w:autoSpaceDE w:val="0"/>
              <w:autoSpaceDN w:val="0"/>
              <w:adjustRightInd w:val="0"/>
              <w:jc w:val="left"/>
              <w:rPr>
                <w:rFonts w:ascii="ＭＳ 明朝" w:eastAsia="ＭＳ 明朝" w:cs="ＭＳ 明朝"/>
                <w:kern w:val="0"/>
                <w:sz w:val="22"/>
              </w:rPr>
            </w:pPr>
            <w:r>
              <w:rPr>
                <w:rFonts w:ascii="ＭＳ 明朝" w:eastAsia="ＭＳ 明朝" w:cs="ＭＳ 明朝" w:hint="eastAsia"/>
                <w:kern w:val="0"/>
                <w:sz w:val="22"/>
              </w:rPr>
              <w:t>事</w:t>
            </w:r>
            <w:r>
              <w:rPr>
                <w:rFonts w:ascii="ＭＳ 明朝" w:eastAsia="ＭＳ 明朝" w:cs="ＭＳ 明朝"/>
                <w:kern w:val="0"/>
                <w:sz w:val="22"/>
              </w:rPr>
              <w:t xml:space="preserve"> </w:t>
            </w:r>
            <w:r>
              <w:rPr>
                <w:rFonts w:ascii="ＭＳ 明朝" w:eastAsia="ＭＳ 明朝" w:cs="ＭＳ 明朝" w:hint="eastAsia"/>
                <w:kern w:val="0"/>
                <w:sz w:val="22"/>
              </w:rPr>
              <w:t>故</w:t>
            </w:r>
            <w:r>
              <w:rPr>
                <w:rFonts w:ascii="ＭＳ 明朝" w:eastAsia="ＭＳ 明朝" w:cs="ＭＳ 明朝"/>
                <w:kern w:val="0"/>
                <w:sz w:val="22"/>
              </w:rPr>
              <w:t xml:space="preserve"> </w:t>
            </w:r>
            <w:r>
              <w:rPr>
                <w:rFonts w:ascii="ＭＳ 明朝" w:eastAsia="ＭＳ 明朝" w:cs="ＭＳ 明朝" w:hint="eastAsia"/>
                <w:kern w:val="0"/>
                <w:sz w:val="22"/>
              </w:rPr>
              <w:t>概</w:t>
            </w:r>
            <w:r>
              <w:rPr>
                <w:rFonts w:ascii="ＭＳ 明朝" w:eastAsia="ＭＳ 明朝" w:cs="ＭＳ 明朝"/>
                <w:kern w:val="0"/>
                <w:sz w:val="22"/>
              </w:rPr>
              <w:t xml:space="preserve"> </w:t>
            </w:r>
            <w:r>
              <w:rPr>
                <w:rFonts w:ascii="ＭＳ 明朝" w:eastAsia="ＭＳ 明朝" w:cs="ＭＳ 明朝" w:hint="eastAsia"/>
                <w:kern w:val="0"/>
                <w:sz w:val="22"/>
              </w:rPr>
              <w:t>要</w:t>
            </w:r>
          </w:p>
          <w:p w14:paraId="3B4EA608" w14:textId="77777777" w:rsidR="001F5519" w:rsidRDefault="001F5519" w:rsidP="001F5519">
            <w:pPr>
              <w:autoSpaceDE w:val="0"/>
              <w:autoSpaceDN w:val="0"/>
              <w:adjustRightInd w:val="0"/>
              <w:jc w:val="left"/>
              <w:rPr>
                <w:rFonts w:ascii="ＭＳ 明朝" w:eastAsia="ＭＳ 明朝" w:cs="ＭＳ 明朝"/>
                <w:kern w:val="0"/>
                <w:sz w:val="22"/>
              </w:rPr>
            </w:pPr>
            <w:r>
              <w:rPr>
                <w:rFonts w:ascii="ＭＳ 明朝" w:eastAsia="ＭＳ 明朝" w:cs="ＭＳ 明朝" w:hint="eastAsia"/>
                <w:kern w:val="0"/>
                <w:sz w:val="22"/>
              </w:rPr>
              <w:t>セルフ給油取扱所で顧客が車両にガソリンを給油中に車両の給油口付近から出</w:t>
            </w:r>
          </w:p>
          <w:p w14:paraId="3B4EA609" w14:textId="77777777" w:rsidR="001F5519" w:rsidRDefault="001F5519" w:rsidP="001F5519">
            <w:pPr>
              <w:autoSpaceDE w:val="0"/>
              <w:autoSpaceDN w:val="0"/>
              <w:adjustRightInd w:val="0"/>
              <w:jc w:val="left"/>
              <w:rPr>
                <w:rFonts w:ascii="ＭＳ 明朝" w:eastAsia="ＭＳ 明朝" w:cs="ＭＳ 明朝"/>
                <w:kern w:val="0"/>
                <w:sz w:val="22"/>
              </w:rPr>
            </w:pPr>
            <w:r>
              <w:rPr>
                <w:rFonts w:ascii="ＭＳ 明朝" w:eastAsia="ＭＳ 明朝" w:cs="ＭＳ 明朝" w:hint="eastAsia"/>
                <w:kern w:val="0"/>
                <w:sz w:val="22"/>
              </w:rPr>
              <w:t>火したもの。炎が上がり、慌てて給油ノズルを給油口から抜き取ったためこぼれた</w:t>
            </w:r>
          </w:p>
          <w:p w14:paraId="3B4EA60A" w14:textId="77777777" w:rsidR="001F5519" w:rsidRDefault="001F5519" w:rsidP="001F5519">
            <w:pPr>
              <w:rPr>
                <w:rFonts w:ascii="ＭＳ 明朝" w:eastAsia="ＭＳ 明朝" w:cs="ＭＳ 明朝"/>
                <w:kern w:val="0"/>
                <w:sz w:val="22"/>
              </w:rPr>
            </w:pPr>
            <w:r>
              <w:rPr>
                <w:rFonts w:ascii="ＭＳ 明朝" w:eastAsia="ＭＳ 明朝" w:cs="ＭＳ 明朝" w:hint="eastAsia"/>
                <w:kern w:val="0"/>
                <w:sz w:val="22"/>
              </w:rPr>
              <w:t>ガソリンと車両ボディー若干を焼損したもの。</w:t>
            </w:r>
          </w:p>
          <w:p w14:paraId="3B4EA60B" w14:textId="77777777" w:rsidR="001F5519" w:rsidRDefault="001F5519" w:rsidP="001F5519">
            <w:r>
              <w:rPr>
                <w:noProof/>
              </w:rPr>
              <w:drawing>
                <wp:inline distT="0" distB="0" distL="0" distR="0" wp14:anchorId="3B4EA626" wp14:editId="3B4EA627">
                  <wp:extent cx="5762625" cy="1828800"/>
                  <wp:effectExtent l="0" t="0" r="9525"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62625" cy="1828800"/>
                          </a:xfrm>
                          <a:prstGeom prst="rect">
                            <a:avLst/>
                          </a:prstGeom>
                          <a:noFill/>
                          <a:ln>
                            <a:noFill/>
                          </a:ln>
                        </pic:spPr>
                      </pic:pic>
                    </a:graphicData>
                  </a:graphic>
                </wp:inline>
              </w:drawing>
            </w:r>
          </w:p>
        </w:tc>
      </w:tr>
      <w:tr w:rsidR="001F5519" w14:paraId="3B4EA60E" w14:textId="77777777" w:rsidTr="001F5519">
        <w:tc>
          <w:tcPr>
            <w:tcW w:w="9268" w:type="dxa"/>
          </w:tcPr>
          <w:p w14:paraId="3B4EA60D" w14:textId="77777777" w:rsidR="001F5519" w:rsidRDefault="001F5519" w:rsidP="001F5519">
            <w:r>
              <w:rPr>
                <w:noProof/>
              </w:rPr>
              <w:drawing>
                <wp:inline distT="0" distB="0" distL="0" distR="0" wp14:anchorId="3B4EA628" wp14:editId="3B4EA629">
                  <wp:extent cx="5686425" cy="2752725"/>
                  <wp:effectExtent l="0" t="0" r="0" b="952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20"/>
                          <a:srcRect l="14274" t="12991" r="11397" b="12920"/>
                          <a:stretch/>
                        </pic:blipFill>
                        <pic:spPr bwMode="auto">
                          <a:xfrm>
                            <a:off x="0" y="0"/>
                            <a:ext cx="5703884" cy="2761177"/>
                          </a:xfrm>
                          <a:prstGeom prst="rect">
                            <a:avLst/>
                          </a:prstGeom>
                          <a:ln>
                            <a:noFill/>
                          </a:ln>
                          <a:extLst>
                            <a:ext uri="{53640926-AAD7-44D8-BBD7-CCE9431645EC}">
                              <a14:shadowObscured xmlns:a14="http://schemas.microsoft.com/office/drawing/2010/main"/>
                            </a:ext>
                          </a:extLst>
                        </pic:spPr>
                      </pic:pic>
                    </a:graphicData>
                  </a:graphic>
                </wp:inline>
              </w:drawing>
            </w:r>
          </w:p>
        </w:tc>
      </w:tr>
    </w:tbl>
    <w:p w14:paraId="3B4EA60F" w14:textId="77777777" w:rsidR="001F5519" w:rsidRDefault="001F5519" w:rsidP="001F5519">
      <w:pPr>
        <w:ind w:firstLineChars="100" w:firstLine="210"/>
      </w:pPr>
    </w:p>
    <w:p w14:paraId="3B4EA610" w14:textId="77777777" w:rsidR="001F5519" w:rsidRDefault="001F5519" w:rsidP="001F5519">
      <w:pPr>
        <w:ind w:firstLineChars="100" w:firstLine="210"/>
      </w:pPr>
    </w:p>
    <w:p w14:paraId="3B4EA611" w14:textId="77777777" w:rsidR="001F5519" w:rsidRDefault="001F5519" w:rsidP="001F5519">
      <w:pPr>
        <w:ind w:firstLineChars="100" w:firstLine="241"/>
        <w:jc w:val="center"/>
        <w:rPr>
          <w:b/>
          <w:sz w:val="24"/>
        </w:rPr>
      </w:pPr>
      <w:r w:rsidRPr="001F5519">
        <w:rPr>
          <w:rFonts w:hint="eastAsia"/>
          <w:b/>
          <w:sz w:val="24"/>
        </w:rPr>
        <w:lastRenderedPageBreak/>
        <w:t>【ガソリン等の燃料を容器で運搬する場合等の留意事項】</w:t>
      </w:r>
    </w:p>
    <w:p w14:paraId="3B4EA612" w14:textId="77777777" w:rsidR="001F5519" w:rsidRPr="001F5519" w:rsidRDefault="001F5519" w:rsidP="001F5519">
      <w:pPr>
        <w:ind w:firstLineChars="100" w:firstLine="241"/>
        <w:jc w:val="center"/>
        <w:rPr>
          <w:b/>
          <w:sz w:val="24"/>
        </w:rPr>
      </w:pPr>
    </w:p>
    <w:p w14:paraId="3B4EA613" w14:textId="77777777" w:rsidR="001F5519" w:rsidRDefault="001F5519" w:rsidP="001F5519">
      <w:pPr>
        <w:ind w:firstLineChars="100" w:firstLine="210"/>
      </w:pPr>
      <w:r>
        <w:rPr>
          <w:rFonts w:hint="eastAsia"/>
        </w:rPr>
        <w:t>ガソリンの引火点は－４０℃程度と非常に低く、静電気等でも容易に火災が発生することから、金属製の容器（ガソリン携行缶やドラム缶等）で運搬する必要がありますが、ガソリン等を容器で運搬する場合には消防法令上、危険物取扱者が乗車することまでは求められていません（もちろん、防火上の観点から危険物取扱者が乗車されることは望ましいことではあります）。</w:t>
      </w:r>
    </w:p>
    <w:p w14:paraId="3B4EA614" w14:textId="77777777" w:rsidR="001F5519" w:rsidRDefault="001F5519" w:rsidP="001F5519">
      <w:pPr>
        <w:ind w:firstLineChars="100" w:firstLine="210"/>
      </w:pPr>
      <w:r>
        <w:rPr>
          <w:rFonts w:hint="eastAsia"/>
        </w:rPr>
        <w:t>また、ガソリン等を車両で運搬する場合、ガソリン等を収納した容器の運搬個数に制限はありません。ただし、乗用車（乗用の車室内に貨物を積むものを含む）によりガソリン等を運搬する場合は、２２リットル以下の金属製の容器とする必要があります。</w:t>
      </w:r>
    </w:p>
    <w:p w14:paraId="3B4EA615" w14:textId="77777777" w:rsidR="001F5519" w:rsidRDefault="001F5519" w:rsidP="001F5519">
      <w:pPr>
        <w:ind w:firstLineChars="100" w:firstLine="210"/>
      </w:pPr>
      <w:r>
        <w:rPr>
          <w:rFonts w:hint="eastAsia"/>
        </w:rPr>
        <w:t>さらに、運搬中に危険物が落下・転倒することがないように積載すること、３メートル以上積み重ねて運ばないこと等の防火上の対策は講じていただく必要があります。</w:t>
      </w:r>
    </w:p>
    <w:p w14:paraId="3B4EA616" w14:textId="77777777" w:rsidR="001F5519" w:rsidRDefault="001F5519" w:rsidP="001F5519">
      <w:pPr>
        <w:ind w:firstLineChars="100" w:firstLine="210"/>
      </w:pPr>
      <w:r>
        <w:rPr>
          <w:rFonts w:hint="eastAsia"/>
        </w:rPr>
        <w:t>なお、大量のガソリン等（ガソリンの場合は２００</w:t>
      </w:r>
      <w:r>
        <w:rPr>
          <w:rFonts w:hint="eastAsia"/>
        </w:rPr>
        <w:t xml:space="preserve"> </w:t>
      </w:r>
      <w:r>
        <w:rPr>
          <w:rFonts w:hint="eastAsia"/>
        </w:rPr>
        <w:t>リットル以上、灯油又は軽油の場合は１，０００</w:t>
      </w:r>
      <w:r>
        <w:rPr>
          <w:rFonts w:hint="eastAsia"/>
        </w:rPr>
        <w:t xml:space="preserve"> </w:t>
      </w:r>
      <w:r>
        <w:rPr>
          <w:rFonts w:hint="eastAsia"/>
        </w:rPr>
        <w:t>リットル以上）を運搬する場合は事故時の火災危険性が高いことから、消火器を設置するとともに、周囲に大量の危険物を運搬していることが容易にわかるように「危」と記した標識を掲げる必要があります。</w:t>
      </w:r>
    </w:p>
    <w:p w14:paraId="3B4EA617" w14:textId="77777777" w:rsidR="001F5519" w:rsidRDefault="001F5519" w:rsidP="001F5519">
      <w:pPr>
        <w:ind w:firstLineChars="100" w:firstLine="210"/>
      </w:pPr>
      <w:r>
        <w:rPr>
          <w:rFonts w:hint="eastAsia"/>
        </w:rPr>
        <w:t>当該車両が大量の危険物を運搬していることを周囲に周知し注意喚起するという制度趣旨を達成するものであれば、簡易な標識でも可能です。</w:t>
      </w:r>
    </w:p>
    <w:p w14:paraId="3B4EA618" w14:textId="77777777" w:rsidR="001F5519" w:rsidRDefault="001F5519" w:rsidP="001F5519">
      <w:pPr>
        <w:ind w:firstLineChars="100" w:firstLine="210"/>
      </w:pPr>
      <w:r>
        <w:rPr>
          <w:rFonts w:hint="eastAsia"/>
        </w:rPr>
        <w:t>一方、タンクローリーでガソリン等を大量に移送（運搬）する場合、一度事故が発生すると火災に至る危険性が高く、また、火災時には周辺施設も含めて大きな被害が発生する危険性があることから、指定数量以上の危険物を移送するタンクローリーには危険物取扱者が乗車していただく必要があります。</w:t>
      </w:r>
    </w:p>
    <w:p w14:paraId="3B4EA619" w14:textId="77777777" w:rsidR="001F5519" w:rsidRDefault="001F5519" w:rsidP="001F5519">
      <w:pPr>
        <w:ind w:firstLineChars="100" w:firstLine="210"/>
      </w:pPr>
      <w:r>
        <w:rPr>
          <w:rFonts w:hint="eastAsia"/>
        </w:rPr>
        <w:t>この場合の危険物取扱者とは、甲種危険物取扱者、乙種危険物取扱者（４類）又は丙種危険物取扱者を指しますが、毎年約１４万人の方がタンクローリーで移送（運搬）する際に必要とされる有資格者となっています。前述の火災危険性をご理解いただき、有資格者が乗車したタンクローリーで安全に大量のガソリン等を運んでいただけるようお願いします。</w:t>
      </w:r>
    </w:p>
    <w:p w14:paraId="3B4EA61A" w14:textId="77777777" w:rsidR="001F5519" w:rsidRDefault="001F5519" w:rsidP="001F5519">
      <w:pPr>
        <w:ind w:firstLineChars="100" w:firstLine="210"/>
      </w:pPr>
      <w:r>
        <w:rPr>
          <w:rFonts w:hint="eastAsia"/>
        </w:rPr>
        <w:t>なお、タンクローリーの運転者自身が危険物取扱者である場合は、必ずしも別に危険物取扱者を乗車させる必要はありません。</w:t>
      </w:r>
    </w:p>
    <w:p w14:paraId="3B4EA61B" w14:textId="77777777" w:rsidR="001F5519" w:rsidRDefault="001F5519" w:rsidP="001F5519">
      <w:pPr>
        <w:ind w:firstLineChars="100" w:firstLine="210"/>
      </w:pPr>
    </w:p>
    <w:p w14:paraId="3B4EA61C" w14:textId="77777777" w:rsidR="001F5519" w:rsidRDefault="001F5519" w:rsidP="001F5519">
      <w:pPr>
        <w:ind w:firstLineChars="100" w:firstLine="210"/>
      </w:pPr>
    </w:p>
    <w:p w14:paraId="3B4EA61D" w14:textId="77777777" w:rsidR="001F5519" w:rsidRPr="001F5519" w:rsidRDefault="001F5519" w:rsidP="001F5519">
      <w:pPr>
        <w:ind w:firstLineChars="100" w:firstLine="241"/>
        <w:rPr>
          <w:b/>
          <w:sz w:val="24"/>
        </w:rPr>
      </w:pPr>
      <w:r w:rsidRPr="001F5519">
        <w:rPr>
          <w:rFonts w:hint="eastAsia"/>
          <w:b/>
          <w:sz w:val="24"/>
        </w:rPr>
        <w:t>【石油ストーブ等の灯油がなくなってもガソリンを使用することは危険です】</w:t>
      </w:r>
    </w:p>
    <w:p w14:paraId="3B4EA61E" w14:textId="77777777" w:rsidR="001F5519" w:rsidRDefault="001F5519" w:rsidP="001F5519">
      <w:pPr>
        <w:ind w:firstLineChars="100" w:firstLine="210"/>
      </w:pPr>
      <w:r>
        <w:rPr>
          <w:rFonts w:hint="eastAsia"/>
        </w:rPr>
        <w:t>ガソリンの引火点は－４０℃程度と非常に低く、静電気等でも容易に火災が発生します。一方、灯油の引火点は４０℃程度であり、火災危険性は高いもののガソリンほどではありません。</w:t>
      </w:r>
    </w:p>
    <w:p w14:paraId="3B4EA61F" w14:textId="77777777" w:rsidR="001F5519" w:rsidRPr="00440480" w:rsidRDefault="001F5519" w:rsidP="001F5519">
      <w:pPr>
        <w:ind w:firstLineChars="100" w:firstLine="210"/>
      </w:pPr>
      <w:r>
        <w:rPr>
          <w:rFonts w:hint="eastAsia"/>
        </w:rPr>
        <w:t>石油ストーブや石油ファンヒーター等は、あくまでも灯油を燃料として用いることを前提に作られているため、仮に灯油がなくなった場合でも、灯油の代わりにガソリンを給油すると火災が発生する危険性が非常に高く、しかも、石油ストーブ等は建物内で用いる場合が大半であることから、建物火災に発展する危険性が高いので、絶対に行わないようにしてください。</w:t>
      </w:r>
    </w:p>
    <w:sectPr w:rsidR="001F5519" w:rsidRPr="00440480" w:rsidSect="00440480">
      <w:pgSz w:w="11906" w:h="16838"/>
      <w:pgMar w:top="1701" w:right="1418" w:bottom="1418"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4EA62C" w14:textId="77777777" w:rsidR="00A41A36" w:rsidRDefault="00A41A36" w:rsidP="00F13562">
      <w:r>
        <w:separator/>
      </w:r>
    </w:p>
  </w:endnote>
  <w:endnote w:type="continuationSeparator" w:id="0">
    <w:p w14:paraId="3B4EA62D" w14:textId="77777777" w:rsidR="00A41A36" w:rsidRDefault="00A41A36" w:rsidP="00F135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4EA630" w14:textId="77777777" w:rsidR="00F13562" w:rsidRDefault="00F13562">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4EA631" w14:textId="77777777" w:rsidR="00F13562" w:rsidRDefault="00F13562">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4EA633" w14:textId="77777777" w:rsidR="00F13562" w:rsidRDefault="00F13562">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4EA62A" w14:textId="77777777" w:rsidR="00A41A36" w:rsidRDefault="00A41A36" w:rsidP="00F13562">
      <w:r>
        <w:separator/>
      </w:r>
    </w:p>
  </w:footnote>
  <w:footnote w:type="continuationSeparator" w:id="0">
    <w:p w14:paraId="3B4EA62B" w14:textId="77777777" w:rsidR="00A41A36" w:rsidRDefault="00A41A36" w:rsidP="00F135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4EA62E" w14:textId="77777777" w:rsidR="00F13562" w:rsidRDefault="00F13562">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4EA62F" w14:textId="77777777" w:rsidR="00F13562" w:rsidRDefault="00F13562" w:rsidP="00F13562">
    <w:pPr>
      <w:pStyle w:val="a6"/>
      <w:jc w:val="right"/>
    </w:pPr>
    <w:r>
      <w:rPr>
        <w:rFonts w:hint="eastAsia"/>
      </w:rPr>
      <w:t>別紙１</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4EA632" w14:textId="77777777" w:rsidR="00F13562" w:rsidRDefault="00F13562">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hideSpellingErrors/>
  <w:hideGrammaticalErrors/>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0480"/>
    <w:rsid w:val="001F5519"/>
    <w:rsid w:val="00440480"/>
    <w:rsid w:val="008731D4"/>
    <w:rsid w:val="00A41A36"/>
    <w:rsid w:val="00CD15E8"/>
    <w:rsid w:val="00E529C3"/>
    <w:rsid w:val="00F135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3B4EA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40480"/>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440480"/>
    <w:rPr>
      <w:rFonts w:asciiTheme="majorHAnsi" w:eastAsiaTheme="majorEastAsia" w:hAnsiTheme="majorHAnsi" w:cstheme="majorBidi"/>
      <w:sz w:val="18"/>
      <w:szCs w:val="18"/>
    </w:rPr>
  </w:style>
  <w:style w:type="table" w:styleId="a5">
    <w:name w:val="Table Grid"/>
    <w:basedOn w:val="a1"/>
    <w:uiPriority w:val="59"/>
    <w:rsid w:val="004404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F13562"/>
    <w:pPr>
      <w:tabs>
        <w:tab w:val="center" w:pos="4252"/>
        <w:tab w:val="right" w:pos="8504"/>
      </w:tabs>
      <w:snapToGrid w:val="0"/>
    </w:pPr>
  </w:style>
  <w:style w:type="character" w:customStyle="1" w:styleId="a7">
    <w:name w:val="ヘッダー (文字)"/>
    <w:basedOn w:val="a0"/>
    <w:link w:val="a6"/>
    <w:uiPriority w:val="99"/>
    <w:rsid w:val="00F13562"/>
  </w:style>
  <w:style w:type="paragraph" w:styleId="a8">
    <w:name w:val="footer"/>
    <w:basedOn w:val="a"/>
    <w:link w:val="a9"/>
    <w:uiPriority w:val="99"/>
    <w:unhideWhenUsed/>
    <w:rsid w:val="00F13562"/>
    <w:pPr>
      <w:tabs>
        <w:tab w:val="center" w:pos="4252"/>
        <w:tab w:val="right" w:pos="8504"/>
      </w:tabs>
      <w:snapToGrid w:val="0"/>
    </w:pPr>
  </w:style>
  <w:style w:type="character" w:customStyle="1" w:styleId="a9">
    <w:name w:val="フッター (文字)"/>
    <w:basedOn w:val="a0"/>
    <w:link w:val="a8"/>
    <w:uiPriority w:val="99"/>
    <w:rsid w:val="00F1356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40480"/>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440480"/>
    <w:rPr>
      <w:rFonts w:asciiTheme="majorHAnsi" w:eastAsiaTheme="majorEastAsia" w:hAnsiTheme="majorHAnsi" w:cstheme="majorBidi"/>
      <w:sz w:val="18"/>
      <w:szCs w:val="18"/>
    </w:rPr>
  </w:style>
  <w:style w:type="table" w:styleId="a5">
    <w:name w:val="Table Grid"/>
    <w:basedOn w:val="a1"/>
    <w:uiPriority w:val="59"/>
    <w:rsid w:val="004404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F13562"/>
    <w:pPr>
      <w:tabs>
        <w:tab w:val="center" w:pos="4252"/>
        <w:tab w:val="right" w:pos="8504"/>
      </w:tabs>
      <w:snapToGrid w:val="0"/>
    </w:pPr>
  </w:style>
  <w:style w:type="character" w:customStyle="1" w:styleId="a7">
    <w:name w:val="ヘッダー (文字)"/>
    <w:basedOn w:val="a0"/>
    <w:link w:val="a6"/>
    <w:uiPriority w:val="99"/>
    <w:rsid w:val="00F13562"/>
  </w:style>
  <w:style w:type="paragraph" w:styleId="a8">
    <w:name w:val="footer"/>
    <w:basedOn w:val="a"/>
    <w:link w:val="a9"/>
    <w:uiPriority w:val="99"/>
    <w:unhideWhenUsed/>
    <w:rsid w:val="00F13562"/>
    <w:pPr>
      <w:tabs>
        <w:tab w:val="center" w:pos="4252"/>
        <w:tab w:val="right" w:pos="8504"/>
      </w:tabs>
      <w:snapToGrid w:val="0"/>
    </w:pPr>
  </w:style>
  <w:style w:type="character" w:customStyle="1" w:styleId="a9">
    <w:name w:val="フッター (文字)"/>
    <w:basedOn w:val="a0"/>
    <w:link w:val="a8"/>
    <w:uiPriority w:val="99"/>
    <w:rsid w:val="00F135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4.png"/><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image" Target="media/image1.emf"/><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3.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342897D9D95C94C853C43942E4BBAB4" ma:contentTypeVersion="1" ma:contentTypeDescription="新しいドキュメントを作成します。" ma:contentTypeScope="" ma:versionID="38ca69609682ae100e1785adf6a47f59">
  <xsd:schema xmlns:xsd="http://www.w3.org/2001/XMLSchema" xmlns:xs="http://www.w3.org/2001/XMLSchema" xmlns:p="http://schemas.microsoft.com/office/2006/metadata/properties" targetNamespace="http://schemas.microsoft.com/office/2006/metadata/properties" ma:root="true" ma:fieldsID="a013efcdee6cc43996d1a57482699e7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131389-DDD3-4DD7-994B-32CD04634E71}">
  <ds:schemaRefs>
    <ds:schemaRef ds:uri="http://schemas.microsoft.com/sharepoint/v3/contenttype/forms"/>
  </ds:schemaRefs>
</ds:datastoreItem>
</file>

<file path=customXml/itemProps2.xml><?xml version="1.0" encoding="utf-8"?>
<ds:datastoreItem xmlns:ds="http://schemas.openxmlformats.org/officeDocument/2006/customXml" ds:itemID="{C225E0A3-1636-46C9-BF36-392B4373BE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75AD7B4-408E-4507-8335-EA1FBD3C73F7}">
  <ds:schemaRefs>
    <ds:schemaRef ds:uri="http://schemas.openxmlformats.org/package/2006/metadata/core-properties"/>
    <ds:schemaRef ds:uri="http://schemas.microsoft.com/office/2006/metadata/properties"/>
    <ds:schemaRef ds:uri="http://www.w3.org/XML/1998/namespace"/>
    <ds:schemaRef ds:uri="http://purl.org/dc/terms/"/>
    <ds:schemaRef ds:uri="http://schemas.microsoft.com/office/2006/documentManagement/types"/>
    <ds:schemaRef ds:uri="http://schemas.microsoft.com/office/infopath/2007/PartnerControls"/>
    <ds:schemaRef ds:uri="http://purl.org/dc/dcmitype/"/>
    <ds:schemaRef ds:uri="http://purl.org/dc/elements/1.1/"/>
  </ds:schemaRefs>
</ds:datastoreItem>
</file>

<file path=customXml/itemProps4.xml><?xml version="1.0" encoding="utf-8"?>
<ds:datastoreItem xmlns:ds="http://schemas.openxmlformats.org/officeDocument/2006/customXml" ds:itemID="{505FB762-11C6-4483-9242-22E181B76B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469</Words>
  <Characters>2674</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堺市</Company>
  <LinksUpToDate>false</LinksUpToDate>
  <CharactersWithSpaces>3137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堺市消防局</dc:creator>
  <cp:lastModifiedBy>堺市消防局</cp:lastModifiedBy>
  <cp:revision>2</cp:revision>
  <dcterms:created xsi:type="dcterms:W3CDTF">2019-01-10T05:04:00Z</dcterms:created>
  <dcterms:modified xsi:type="dcterms:W3CDTF">2019-01-10T05:04:00Z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0x010100E342897D9D95C94C853C43942E4BBAB4</vt:lpwstr>
  </property>
</Properties>
</file>