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BC7" w:rsidRPr="00FF49D9" w:rsidRDefault="00FB7BC7" w:rsidP="00FB7BC7">
      <w:pPr>
        <w:jc w:val="center"/>
        <w:rPr>
          <w:rFonts w:hAnsi="ＭＳ 明朝"/>
          <w:color w:val="000000"/>
          <w:sz w:val="22"/>
          <w:szCs w:val="22"/>
        </w:rPr>
      </w:pPr>
      <w:r w:rsidRPr="00FF49D9">
        <w:rPr>
          <w:rFonts w:hAnsi="ＭＳ 明朝" w:hint="eastAsia"/>
          <w:color w:val="000000"/>
          <w:sz w:val="22"/>
          <w:szCs w:val="22"/>
        </w:rPr>
        <w:t>移動タンク貯蔵所に接続した可搬式の給油設備からの給油、注油等</w:t>
      </w:r>
    </w:p>
    <w:p w:rsidR="00FB7BC7" w:rsidRPr="00FF49D9" w:rsidRDefault="00FB7BC7" w:rsidP="00FB7BC7">
      <w:pPr>
        <w:jc w:val="center"/>
        <w:rPr>
          <w:rFonts w:hAnsi="ＭＳ 明朝"/>
          <w:color w:val="000000"/>
          <w:sz w:val="22"/>
          <w:szCs w:val="22"/>
        </w:rPr>
      </w:pPr>
      <w:r w:rsidRPr="00FF49D9">
        <w:rPr>
          <w:rFonts w:hAnsi="ＭＳ 明朝" w:hint="eastAsia"/>
          <w:color w:val="000000"/>
          <w:sz w:val="22"/>
          <w:szCs w:val="22"/>
        </w:rPr>
        <w:t>仮貯蔵・仮取扱い実施計画書（例４）</w:t>
      </w:r>
      <w:r w:rsidRPr="00FF49D9">
        <w:rPr>
          <w:rFonts w:hAnsi="ＭＳ 明朝"/>
          <w:color w:val="000000"/>
          <w:sz w:val="22"/>
          <w:szCs w:val="22"/>
        </w:rPr>
        <w:t xml:space="preserve"> </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１ 目的</w:t>
      </w:r>
      <w:r w:rsidRPr="00FF49D9">
        <w:rPr>
          <w:rFonts w:ascii="ＭＳ 明朝" w:eastAsia="ＭＳ 明朝" w:hAnsi="ＭＳ 明朝"/>
          <w:sz w:val="22"/>
          <w:szCs w:val="22"/>
        </w:rPr>
        <w:t xml:space="preserve"> </w:t>
      </w:r>
    </w:p>
    <w:p w:rsidR="00FB7BC7" w:rsidRPr="00FF49D9" w:rsidRDefault="00FB7BC7" w:rsidP="00FB7BC7">
      <w:pPr>
        <w:pStyle w:val="Default"/>
        <w:ind w:leftChars="100" w:left="240" w:firstLineChars="100" w:firstLine="220"/>
        <w:rPr>
          <w:rFonts w:ascii="ＭＳ 明朝" w:eastAsia="ＭＳ 明朝" w:hAnsi="ＭＳ 明朝"/>
          <w:sz w:val="22"/>
          <w:szCs w:val="22"/>
        </w:rPr>
      </w:pPr>
      <w:r w:rsidRPr="00FF49D9">
        <w:rPr>
          <w:rFonts w:ascii="ＭＳ 明朝" w:eastAsia="ＭＳ 明朝" w:hAnsi="ＭＳ 明朝" w:hint="eastAsia"/>
          <w:sz w:val="22"/>
          <w:szCs w:val="22"/>
        </w:rPr>
        <w:t>震災等により周辺の給油取扱所において燃料供給が困難となった場合に、自動車への給油等を行うことを目的とし、必要な事項を予め計画するものである。</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２ 仮貯蔵・仮取扱いをする場所</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 xml:space="preserve">　　堺市○○区○○町○○番地先　○○西側空地（別添地図参照）</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３ 仮貯蔵・仮取扱いに使用する部分の面積</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 xml:space="preserve">　　約○○㎡</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４ 詳細レイアウト</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 xml:space="preserve">　　別紙のとおり</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５ 仮貯蔵・仮取扱をする危険物の類、品名、数量</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 xml:space="preserve">　　第４類第１石油類（ガソリン）　○○リットル</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６ 指定数量の倍数</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 xml:space="preserve">　　○○倍</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７ 貯蔵及び取扱方法</w:t>
      </w:r>
    </w:p>
    <w:p w:rsidR="00FB7BC7" w:rsidRPr="00FF49D9" w:rsidRDefault="00FB7BC7" w:rsidP="00FB7BC7">
      <w:pPr>
        <w:pStyle w:val="Default"/>
        <w:ind w:leftChars="100" w:left="35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⑴ 平常時は可搬式の給油設備等の資機材を倉庫等に保管しておき、災害時に当該資機材を自動車が出入りするために十分な広さを有する空地に設置して、給油設備に移動タンク貯蔵所の注入ホースを緊結し、給油設備を用いて自動車への給油又は容器への注油を行う。</w:t>
      </w:r>
      <w:r w:rsidRPr="00FF49D9">
        <w:rPr>
          <w:rFonts w:ascii="ＭＳ 明朝" w:eastAsia="ＭＳ 明朝" w:hAnsi="ＭＳ 明朝"/>
          <w:sz w:val="22"/>
          <w:szCs w:val="22"/>
        </w:rPr>
        <w:t xml:space="preserve"> </w:t>
      </w:r>
    </w:p>
    <w:p w:rsidR="00FB7BC7" w:rsidRPr="00FF49D9" w:rsidRDefault="00FB7BC7" w:rsidP="00FB7BC7">
      <w:pPr>
        <w:pStyle w:val="Default"/>
        <w:ind w:leftChars="100" w:left="35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⑵ 移動タンク貯蔵所１台につき、貯蔵する危険物はガソリン、灯油又は軽油のいずれか１油種とする。</w:t>
      </w:r>
      <w:r w:rsidRPr="00FF49D9">
        <w:rPr>
          <w:rFonts w:ascii="ＭＳ 明朝" w:eastAsia="ＭＳ 明朝" w:hAnsi="ＭＳ 明朝"/>
          <w:sz w:val="22"/>
          <w:szCs w:val="22"/>
        </w:rPr>
        <w:t xml:space="preserve"> </w:t>
      </w:r>
    </w:p>
    <w:p w:rsidR="00FB7BC7" w:rsidRPr="00FF49D9" w:rsidRDefault="00FB7BC7" w:rsidP="00FB7BC7">
      <w:pPr>
        <w:pStyle w:val="Default"/>
        <w:ind w:leftChars="150" w:left="360" w:firstLineChars="100" w:firstLine="220"/>
        <w:rPr>
          <w:rFonts w:ascii="ＭＳ 明朝" w:eastAsia="ＭＳ 明朝" w:hAnsi="ＭＳ 明朝"/>
          <w:sz w:val="22"/>
          <w:szCs w:val="22"/>
        </w:rPr>
      </w:pPr>
      <w:r w:rsidRPr="00FF49D9">
        <w:rPr>
          <w:rFonts w:ascii="ＭＳ 明朝" w:eastAsia="ＭＳ 明朝" w:hAnsi="ＭＳ 明朝" w:hint="eastAsia"/>
          <w:sz w:val="22"/>
          <w:szCs w:val="22"/>
        </w:rPr>
        <w:t>また、危険物の取扱い作業後において、移動タンク貯蔵所の注入ホース及び給油設備内の危険物を携行缶等に排出する際の吸気に供するため、移動貯蔵タンクのタンク室の１つは空室にしておく。</w:t>
      </w:r>
    </w:p>
    <w:p w:rsidR="00FB7BC7" w:rsidRPr="00FF49D9" w:rsidRDefault="00FB7BC7" w:rsidP="00FB7BC7">
      <w:pPr>
        <w:pStyle w:val="Default"/>
        <w:ind w:leftChars="100" w:left="35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⑶ 危険物を取り扱う場所は屋外とする。また、給油場所の位置は、危険物の規制に関す    る政令第９条第１項第１号の規定の例により、周囲の建築物等から距離を保つものとする。</w:t>
      </w:r>
      <w:r w:rsidRPr="00FF49D9">
        <w:rPr>
          <w:rFonts w:ascii="ＭＳ 明朝" w:eastAsia="ＭＳ 明朝" w:hAnsi="ＭＳ 明朝"/>
          <w:sz w:val="22"/>
          <w:szCs w:val="22"/>
        </w:rPr>
        <w:t xml:space="preserve"> </w:t>
      </w:r>
    </w:p>
    <w:p w:rsidR="00FB7BC7" w:rsidRPr="00FF49D9" w:rsidRDefault="00FB7BC7" w:rsidP="00FB7BC7">
      <w:pPr>
        <w:pStyle w:val="Default"/>
        <w:ind w:firstLineChars="100" w:firstLine="220"/>
        <w:rPr>
          <w:rFonts w:ascii="ＭＳ 明朝" w:eastAsia="ＭＳ 明朝" w:hAnsi="ＭＳ 明朝"/>
          <w:sz w:val="22"/>
          <w:szCs w:val="22"/>
        </w:rPr>
      </w:pPr>
      <w:r w:rsidRPr="00FF49D9">
        <w:rPr>
          <w:rFonts w:ascii="ＭＳ 明朝" w:eastAsia="ＭＳ 明朝" w:hAnsi="ＭＳ 明朝" w:hint="eastAsia"/>
          <w:sz w:val="22"/>
          <w:szCs w:val="22"/>
        </w:rPr>
        <w:t>⑷ 保有空地を６ｍ確保する。</w:t>
      </w:r>
    </w:p>
    <w:p w:rsidR="00FB7BC7" w:rsidRPr="00FF49D9" w:rsidRDefault="00FB7BC7" w:rsidP="00FB7BC7">
      <w:pPr>
        <w:pStyle w:val="Default"/>
        <w:ind w:firstLineChars="100" w:firstLine="220"/>
        <w:rPr>
          <w:rFonts w:ascii="ＭＳ 明朝" w:eastAsia="ＭＳ 明朝" w:hAnsi="ＭＳ 明朝"/>
          <w:sz w:val="22"/>
          <w:szCs w:val="22"/>
        </w:rPr>
      </w:pPr>
      <w:r w:rsidRPr="00FF49D9">
        <w:rPr>
          <w:rFonts w:ascii="ＭＳ 明朝" w:eastAsia="ＭＳ 明朝" w:hAnsi="ＭＳ 明朝" w:hint="eastAsia"/>
          <w:sz w:val="22"/>
          <w:szCs w:val="22"/>
        </w:rPr>
        <w:t xml:space="preserve">⑸ 第五種消火設備 </w:t>
      </w:r>
      <w:r w:rsidRPr="00FF49D9">
        <w:rPr>
          <w:rFonts w:ascii="ＭＳ 明朝" w:eastAsia="ＭＳ 明朝" w:hAnsi="ＭＳ 明朝"/>
          <w:sz w:val="22"/>
          <w:szCs w:val="22"/>
        </w:rPr>
        <w:t xml:space="preserve">10 </w:t>
      </w:r>
      <w:r w:rsidRPr="00FF49D9">
        <w:rPr>
          <w:rFonts w:ascii="ＭＳ 明朝" w:eastAsia="ＭＳ 明朝" w:hAnsi="ＭＳ 明朝" w:hint="eastAsia"/>
          <w:sz w:val="22"/>
          <w:szCs w:val="22"/>
        </w:rPr>
        <w:t>型粉末消火器 ３本以上設置する。</w:t>
      </w:r>
    </w:p>
    <w:p w:rsidR="00FB7BC7" w:rsidRPr="00FF49D9" w:rsidRDefault="00FB7BC7" w:rsidP="00FB7BC7">
      <w:pPr>
        <w:pStyle w:val="Default"/>
        <w:ind w:leftChars="100" w:left="35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⑹ 見やすい箇所において、危険物の仮取扱いを行う場所である旨を表示した標識及び防火に関し必要な事項（危険物の品名・数量・倍数、「火気厳禁」及び「給油中エンジン停止」の注意事項）を掲示した掲示板を設け、関係者に注意喚起を行う。</w:t>
      </w:r>
    </w:p>
    <w:p w:rsidR="00FB7BC7" w:rsidRPr="00FF49D9" w:rsidRDefault="00FB7BC7" w:rsidP="00FB7BC7">
      <w:pPr>
        <w:pStyle w:val="Default"/>
        <w:jc w:val="both"/>
        <w:rPr>
          <w:rFonts w:ascii="ＭＳ 明朝" w:eastAsia="ＭＳ 明朝" w:hAnsi="ＭＳ 明朝"/>
          <w:sz w:val="22"/>
          <w:szCs w:val="22"/>
        </w:rPr>
      </w:pPr>
      <w:bookmarkStart w:id="0" w:name="_GoBack"/>
      <w:bookmarkEnd w:id="0"/>
      <w:r w:rsidRPr="00FF49D9">
        <w:rPr>
          <w:rFonts w:ascii="ＭＳ 明朝" w:eastAsia="ＭＳ 明朝" w:hAnsi="ＭＳ 明朝" w:hint="eastAsia"/>
          <w:sz w:val="22"/>
          <w:szCs w:val="22"/>
        </w:rPr>
        <w:t>８ 安全対策</w:t>
      </w:r>
    </w:p>
    <w:p w:rsidR="00FB7BC7" w:rsidRPr="00FF49D9" w:rsidRDefault="00FB7BC7" w:rsidP="00FB7BC7">
      <w:pPr>
        <w:pStyle w:val="Default"/>
        <w:ind w:leftChars="50" w:left="23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⑴ 給油設備は、危険物の規制に関する規則第２５条の２（固定給油設備等の構造）の規定に準ずる構造のものとする。</w:t>
      </w:r>
    </w:p>
    <w:p w:rsidR="00FB7BC7" w:rsidRPr="00FF49D9" w:rsidRDefault="00FB7BC7" w:rsidP="00FB7BC7">
      <w:pPr>
        <w:pStyle w:val="Default"/>
        <w:ind w:leftChars="50" w:left="23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lastRenderedPageBreak/>
        <w:t>⑵ 給油設備及びその架台は、地震動、風圧等に対して十分な安全性を有するものとする。また、架台には車両の衝突を防止するためのポール等を設ける。</w:t>
      </w:r>
    </w:p>
    <w:p w:rsidR="00FB7BC7" w:rsidRPr="00FF49D9" w:rsidRDefault="00FB7BC7" w:rsidP="00FB7BC7">
      <w:pPr>
        <w:pStyle w:val="Default"/>
        <w:ind w:leftChars="50" w:left="23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⑶ 給油設備及び移動タンク貯蔵所のアースを確保する。この場合において、接地導線については、保有空地外に設置する。</w:t>
      </w:r>
    </w:p>
    <w:p w:rsidR="00FB7BC7" w:rsidRPr="00FF49D9" w:rsidRDefault="00FB7BC7" w:rsidP="00FB7BC7">
      <w:pPr>
        <w:pStyle w:val="Default"/>
        <w:ind w:leftChars="50" w:left="120"/>
        <w:rPr>
          <w:rFonts w:ascii="ＭＳ 明朝" w:eastAsia="ＭＳ 明朝" w:hAnsi="ＭＳ 明朝"/>
          <w:sz w:val="22"/>
          <w:szCs w:val="22"/>
        </w:rPr>
      </w:pPr>
      <w:r w:rsidRPr="00FF49D9">
        <w:rPr>
          <w:rFonts w:ascii="ＭＳ 明朝" w:eastAsia="ＭＳ 明朝" w:hAnsi="ＭＳ 明朝" w:hint="eastAsia"/>
          <w:sz w:val="22"/>
          <w:szCs w:val="22"/>
        </w:rPr>
        <w:t>⑷ 給油設備の電源は、保有空地外の発電機又は常用電源を用いる。</w:t>
      </w:r>
    </w:p>
    <w:p w:rsidR="00FB7BC7" w:rsidRPr="00FF49D9" w:rsidRDefault="00FB7BC7" w:rsidP="00FB7BC7">
      <w:pPr>
        <w:pStyle w:val="Default"/>
        <w:ind w:leftChars="50" w:left="23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⑸ 給油場所は、コンクリート又はアスファルトで舗装された平坦な地盤面に設けるもの  とし、給油設備及び移動タンク貯蔵所の設置場所を包含するように漏えい防止シートを敷くとともに、簡易の防油堤を周囲に設置する。また、危険物が流出した場合の応急資機材として、吸着マット等を用意する。</w:t>
      </w:r>
    </w:p>
    <w:p w:rsidR="00FB7BC7" w:rsidRPr="00FF49D9" w:rsidRDefault="00FB7BC7" w:rsidP="00FB7BC7">
      <w:pPr>
        <w:pStyle w:val="Default"/>
        <w:ind w:firstLineChars="50" w:firstLine="110"/>
        <w:rPr>
          <w:rFonts w:ascii="ＭＳ 明朝" w:eastAsia="ＭＳ 明朝" w:hAnsi="ＭＳ 明朝"/>
          <w:sz w:val="22"/>
          <w:szCs w:val="22"/>
        </w:rPr>
      </w:pPr>
      <w:r w:rsidRPr="00FF49D9">
        <w:rPr>
          <w:rFonts w:ascii="ＭＳ 明朝" w:eastAsia="ＭＳ 明朝" w:hAnsi="ＭＳ 明朝" w:hint="eastAsia"/>
          <w:sz w:val="22"/>
          <w:szCs w:val="22"/>
        </w:rPr>
        <w:t>⑹ 給油場所及び保有空地における火気使用を禁止する。</w:t>
      </w:r>
    </w:p>
    <w:p w:rsidR="00FB7BC7" w:rsidRPr="00FF49D9" w:rsidRDefault="00FB7BC7" w:rsidP="00FB7BC7">
      <w:pPr>
        <w:pStyle w:val="Default"/>
        <w:ind w:firstLineChars="50" w:firstLine="110"/>
        <w:rPr>
          <w:rFonts w:ascii="ＭＳ 明朝" w:eastAsia="ＭＳ 明朝" w:hAnsi="ＭＳ 明朝"/>
          <w:sz w:val="22"/>
          <w:szCs w:val="22"/>
        </w:rPr>
      </w:pPr>
      <w:r w:rsidRPr="00FF49D9">
        <w:rPr>
          <w:rFonts w:ascii="ＭＳ 明朝" w:eastAsia="ＭＳ 明朝" w:hAnsi="ＭＳ 明朝" w:hint="eastAsia"/>
          <w:sz w:val="22"/>
          <w:szCs w:val="22"/>
        </w:rPr>
        <w:t>⑺</w:t>
      </w:r>
      <w:r w:rsidRPr="00FF49D9">
        <w:rPr>
          <w:rFonts w:ascii="ＭＳ 明朝" w:eastAsia="ＭＳ 明朝" w:hAnsi="ＭＳ 明朝"/>
          <w:sz w:val="22"/>
          <w:szCs w:val="22"/>
        </w:rPr>
        <w:t xml:space="preserve"> </w:t>
      </w:r>
      <w:r w:rsidRPr="00FF49D9">
        <w:rPr>
          <w:rFonts w:ascii="ＭＳ 明朝" w:eastAsia="ＭＳ 明朝" w:hAnsi="ＭＳ 明朝" w:hint="eastAsia"/>
          <w:sz w:val="22"/>
          <w:szCs w:val="22"/>
        </w:rPr>
        <w:t>危険物の取扱いは、危険物取扱者免状の保有者が行う。</w:t>
      </w:r>
    </w:p>
    <w:p w:rsidR="00FB7BC7" w:rsidRPr="00FF49D9" w:rsidRDefault="00FB7BC7" w:rsidP="00FB7BC7">
      <w:pPr>
        <w:pStyle w:val="Default"/>
        <w:ind w:firstLineChars="50" w:firstLine="110"/>
        <w:rPr>
          <w:rFonts w:ascii="ＭＳ 明朝" w:eastAsia="ＭＳ 明朝" w:hAnsi="ＭＳ 明朝"/>
          <w:sz w:val="22"/>
          <w:szCs w:val="22"/>
        </w:rPr>
      </w:pPr>
      <w:r w:rsidRPr="00FF49D9">
        <w:rPr>
          <w:rFonts w:ascii="ＭＳ 明朝" w:eastAsia="ＭＳ 明朝" w:hAnsi="ＭＳ 明朝" w:hint="eastAsia"/>
          <w:sz w:val="22"/>
          <w:szCs w:val="22"/>
        </w:rPr>
        <w:t>⑻</w:t>
      </w:r>
      <w:r w:rsidRPr="00FF49D9">
        <w:rPr>
          <w:rFonts w:ascii="ＭＳ 明朝" w:eastAsia="ＭＳ 明朝" w:hAnsi="ＭＳ 明朝"/>
          <w:sz w:val="22"/>
          <w:szCs w:val="22"/>
        </w:rPr>
        <w:t xml:space="preserve"> </w:t>
      </w:r>
      <w:r w:rsidRPr="00FF49D9">
        <w:rPr>
          <w:rFonts w:ascii="ＭＳ 明朝" w:eastAsia="ＭＳ 明朝" w:hAnsi="ＭＳ 明朝" w:hint="eastAsia"/>
          <w:sz w:val="22"/>
          <w:szCs w:val="22"/>
        </w:rPr>
        <w:t>危険物を取り扱う作業者は、静電安全作業服及び静電安全靴を着用する。</w:t>
      </w:r>
    </w:p>
    <w:p w:rsidR="00FB7BC7" w:rsidRPr="00FF49D9" w:rsidRDefault="00FB7BC7" w:rsidP="00FB7BC7">
      <w:pPr>
        <w:pStyle w:val="Default"/>
        <w:ind w:leftChars="50" w:left="23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⑼ 危険物の流出、車両による事故、危険物の取扱い作業中における余震等が発生した場合や、避難勧告が発令された場合等の対応について、予めマニュアルを定め、作業者への教育訓練を行う。</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９ 管理状況</w:t>
      </w:r>
      <w:r w:rsidRPr="00FF49D9">
        <w:rPr>
          <w:rFonts w:ascii="ＭＳ 明朝" w:eastAsia="ＭＳ 明朝" w:hAnsi="ＭＳ 明朝"/>
          <w:sz w:val="22"/>
          <w:szCs w:val="22"/>
        </w:rPr>
        <w:t xml:space="preserve"> </w:t>
      </w:r>
    </w:p>
    <w:p w:rsidR="00FB7BC7" w:rsidRPr="00FF49D9" w:rsidRDefault="00FB7BC7" w:rsidP="00FB7BC7">
      <w:pPr>
        <w:pStyle w:val="Default"/>
        <w:ind w:firstLineChars="50" w:firstLine="110"/>
        <w:rPr>
          <w:rFonts w:ascii="ＭＳ 明朝" w:eastAsia="ＭＳ 明朝" w:hAnsi="ＭＳ 明朝"/>
          <w:sz w:val="22"/>
          <w:szCs w:val="22"/>
        </w:rPr>
      </w:pPr>
      <w:r w:rsidRPr="00FF49D9">
        <w:rPr>
          <w:rFonts w:ascii="ＭＳ 明朝" w:eastAsia="ＭＳ 明朝" w:hAnsi="ＭＳ 明朝" w:hint="eastAsia"/>
          <w:sz w:val="22"/>
          <w:szCs w:val="22"/>
        </w:rPr>
        <w:t>⑴ 保有空地の周囲には、柵、ロープ等を立てて空地の状態を確保する。</w:t>
      </w:r>
    </w:p>
    <w:p w:rsidR="00FB7BC7" w:rsidRPr="00FF49D9" w:rsidRDefault="00FB7BC7" w:rsidP="00FB7BC7">
      <w:pPr>
        <w:pStyle w:val="Default"/>
        <w:ind w:leftChars="50" w:left="23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⑵ 作業に関係がない者の出入りを適切に管理する。特に、給油場所への不特定の者の立入りを厳に禁ずる。</w:t>
      </w:r>
    </w:p>
    <w:p w:rsidR="00FB7BC7" w:rsidRPr="00FF49D9" w:rsidRDefault="00FB7BC7" w:rsidP="00FB7BC7">
      <w:pPr>
        <w:pStyle w:val="Default"/>
        <w:ind w:leftChars="50" w:left="23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⑶ 給油業務を行う時間帯は、危険物の取扱い作業の有無を問わず、作業員が常駐し監視を行う。</w:t>
      </w:r>
    </w:p>
    <w:p w:rsidR="00FB7BC7" w:rsidRPr="00FF49D9" w:rsidRDefault="00FB7BC7" w:rsidP="00FB7BC7">
      <w:pPr>
        <w:pStyle w:val="Default"/>
        <w:ind w:leftChars="50" w:left="23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⑷ 危険物の取扱い作業の前後に点検を行い、その結果を記録し、保管する。なお、危険物の取扱い作業前の点検の際には、７．⑵に掲げる移動貯蔵タンクにおける危険物積載状況についても確認を行う。</w:t>
      </w:r>
    </w:p>
    <w:p w:rsidR="00FB7BC7" w:rsidRPr="00FF49D9" w:rsidRDefault="00FB7BC7" w:rsidP="00FB7BC7">
      <w:pPr>
        <w:pStyle w:val="Default"/>
        <w:jc w:val="both"/>
        <w:rPr>
          <w:rFonts w:ascii="ＭＳ 明朝" w:eastAsia="ＭＳ 明朝" w:hAnsi="ＭＳ 明朝"/>
          <w:sz w:val="22"/>
          <w:szCs w:val="22"/>
        </w:rPr>
      </w:pPr>
      <w:r w:rsidRPr="00FF49D9">
        <w:rPr>
          <w:rFonts w:ascii="ＭＳ 明朝" w:eastAsia="ＭＳ 明朝" w:hAnsi="ＭＳ 明朝" w:hint="eastAsia"/>
          <w:sz w:val="22"/>
          <w:szCs w:val="22"/>
        </w:rPr>
        <w:t>10 その他必要な事項</w:t>
      </w:r>
    </w:p>
    <w:p w:rsidR="00FB7BC7" w:rsidRPr="00FF49D9" w:rsidRDefault="00FB7BC7" w:rsidP="00FB7BC7">
      <w:pPr>
        <w:pStyle w:val="Default"/>
        <w:ind w:firstLineChars="50" w:firstLine="110"/>
        <w:rPr>
          <w:rFonts w:ascii="ＭＳ 明朝" w:eastAsia="ＭＳ 明朝" w:hAnsi="ＭＳ 明朝"/>
          <w:sz w:val="22"/>
          <w:szCs w:val="22"/>
        </w:rPr>
      </w:pPr>
      <w:r w:rsidRPr="00FF49D9">
        <w:rPr>
          <w:rFonts w:ascii="ＭＳ 明朝" w:eastAsia="ＭＳ 明朝" w:hAnsi="ＭＳ 明朝" w:hint="eastAsia"/>
          <w:sz w:val="22"/>
          <w:szCs w:val="22"/>
        </w:rPr>
        <w:t>⑴ 夜間等、給油業務が終了した後は、移動タンク貯蔵所を常置場所等に移動させる。</w:t>
      </w:r>
    </w:p>
    <w:p w:rsidR="00FB7BC7" w:rsidRPr="00FF49D9" w:rsidRDefault="00FB7BC7" w:rsidP="00FB7BC7">
      <w:pPr>
        <w:pStyle w:val="Default"/>
        <w:ind w:leftChars="50" w:left="230" w:hangingChars="50" w:hanging="110"/>
        <w:rPr>
          <w:rFonts w:ascii="ＭＳ 明朝" w:eastAsia="ＭＳ 明朝" w:hAnsi="ＭＳ 明朝"/>
          <w:sz w:val="22"/>
          <w:szCs w:val="22"/>
        </w:rPr>
      </w:pPr>
      <w:r w:rsidRPr="00FF49D9">
        <w:rPr>
          <w:rFonts w:ascii="ＭＳ 明朝" w:eastAsia="ＭＳ 明朝" w:hAnsi="ＭＳ 明朝" w:hint="eastAsia"/>
          <w:sz w:val="22"/>
          <w:szCs w:val="22"/>
        </w:rPr>
        <w:t>⑵ 給油設備のほか、漏えい防止シート、消火器、吸着マット等の必要な資機材を予め確保し、倉庫等の安全な場所で保管する。</w:t>
      </w:r>
    </w:p>
    <w:p w:rsidR="00FB7BC7" w:rsidRPr="00FF49D9" w:rsidRDefault="00FB7BC7" w:rsidP="00FB7BC7">
      <w:pPr>
        <w:pStyle w:val="Default"/>
        <w:ind w:firstLineChars="100" w:firstLine="220"/>
        <w:rPr>
          <w:rFonts w:ascii="ＭＳ 明朝" w:eastAsia="ＭＳ 明朝" w:hAnsi="ＭＳ 明朝"/>
          <w:sz w:val="22"/>
          <w:szCs w:val="22"/>
        </w:rPr>
      </w:pPr>
    </w:p>
    <w:p w:rsidR="00FB7BC7" w:rsidRPr="00FF49D9" w:rsidRDefault="00FB7BC7" w:rsidP="00FB7BC7">
      <w:pPr>
        <w:rPr>
          <w:rFonts w:hAnsi="ＭＳ 明朝"/>
          <w:color w:val="000000"/>
          <w:sz w:val="22"/>
          <w:szCs w:val="22"/>
        </w:rPr>
        <w:sectPr w:rsidR="00FB7BC7" w:rsidRPr="00FF49D9">
          <w:pgSz w:w="11906" w:h="16838"/>
          <w:pgMar w:top="1985" w:right="1701" w:bottom="1701" w:left="1701" w:header="851" w:footer="992" w:gutter="0"/>
          <w:cols w:space="425"/>
          <w:docGrid w:type="lines" w:linePitch="360"/>
        </w:sectPr>
      </w:pPr>
    </w:p>
    <w:p w:rsidR="00FB7BC7" w:rsidRPr="00FF49D9" w:rsidRDefault="00FB7BC7" w:rsidP="00FB7BC7">
      <w:pPr>
        <w:jc w:val="right"/>
        <w:rPr>
          <w:rFonts w:hAnsi="ＭＳ 明朝"/>
          <w:color w:val="000000"/>
          <w:sz w:val="22"/>
          <w:szCs w:val="22"/>
        </w:rPr>
      </w:pPr>
      <w:r w:rsidRPr="00FF49D9">
        <w:rPr>
          <w:rFonts w:hAnsi="ＭＳ 明朝"/>
          <w:noProof/>
          <w:sz w:val="22"/>
          <w:szCs w:val="22"/>
        </w:rPr>
        <w:lastRenderedPageBreak/>
        <w:drawing>
          <wp:anchor distT="0" distB="0" distL="114300" distR="114300" simplePos="0" relativeHeight="251658240" behindDoc="0" locked="0" layoutInCell="1" allowOverlap="1">
            <wp:simplePos x="0" y="0"/>
            <wp:positionH relativeFrom="column">
              <wp:posOffset>5715</wp:posOffset>
            </wp:positionH>
            <wp:positionV relativeFrom="paragraph">
              <wp:posOffset>243840</wp:posOffset>
            </wp:positionV>
            <wp:extent cx="8334375" cy="503237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4">
                      <a:extLst>
                        <a:ext uri="{28A0092B-C50C-407E-A947-70E740481C1C}">
                          <a14:useLocalDpi xmlns:a14="http://schemas.microsoft.com/office/drawing/2010/main" val="0"/>
                        </a:ext>
                      </a:extLst>
                    </a:blip>
                    <a:srcRect l="15125" t="15710" r="12756" b="6876"/>
                    <a:stretch>
                      <a:fillRect/>
                    </a:stretch>
                  </pic:blipFill>
                  <pic:spPr bwMode="auto">
                    <a:xfrm>
                      <a:off x="0" y="0"/>
                      <a:ext cx="8334375" cy="503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BC7" w:rsidRPr="00FF49D9" w:rsidRDefault="00FB7BC7" w:rsidP="00FB7BC7">
      <w:pPr>
        <w:jc w:val="right"/>
        <w:rPr>
          <w:rFonts w:hAnsi="ＭＳ 明朝"/>
          <w:color w:val="000000"/>
          <w:sz w:val="22"/>
          <w:szCs w:val="22"/>
        </w:rPr>
        <w:sectPr w:rsidR="00FB7BC7" w:rsidRPr="00FF49D9" w:rsidSect="00E05A04">
          <w:pgSz w:w="16838" w:h="11906" w:orient="landscape" w:code="9"/>
          <w:pgMar w:top="1701" w:right="1985" w:bottom="1701" w:left="1701" w:header="851" w:footer="992" w:gutter="0"/>
          <w:cols w:space="425"/>
          <w:docGrid w:type="linesAndChars" w:linePitch="360"/>
        </w:sectPr>
      </w:pPr>
    </w:p>
    <w:p w:rsidR="00FB7BC7" w:rsidRPr="00FF49D9" w:rsidRDefault="00FB7BC7" w:rsidP="00FB7BC7">
      <w:pPr>
        <w:jc w:val="center"/>
        <w:rPr>
          <w:rFonts w:hAnsi="ＭＳ 明朝"/>
          <w:color w:val="000000"/>
          <w:sz w:val="22"/>
          <w:szCs w:val="22"/>
        </w:rPr>
      </w:pPr>
      <w:r w:rsidRPr="00FF49D9">
        <w:rPr>
          <w:rFonts w:hAnsi="ＭＳ 明朝" w:hint="eastAsia"/>
          <w:color w:val="000000"/>
          <w:sz w:val="22"/>
          <w:szCs w:val="22"/>
        </w:rPr>
        <w:lastRenderedPageBreak/>
        <w:t>使用資機材リスト</w:t>
      </w:r>
    </w:p>
    <w:tbl>
      <w:tblPr>
        <w:tblStyle w:val="a3"/>
        <w:tblW w:w="0" w:type="auto"/>
        <w:tblLook w:val="04A0" w:firstRow="1" w:lastRow="0" w:firstColumn="1" w:lastColumn="0" w:noHBand="0" w:noVBand="1"/>
      </w:tblPr>
      <w:tblGrid>
        <w:gridCol w:w="1759"/>
        <w:gridCol w:w="5217"/>
        <w:gridCol w:w="1468"/>
      </w:tblGrid>
      <w:tr w:rsidR="00FB7BC7" w:rsidRPr="00FF49D9" w:rsidTr="00915A8E">
        <w:tc>
          <w:tcPr>
            <w:tcW w:w="1809" w:type="dxa"/>
            <w:tcBorders>
              <w:top w:val="single" w:sz="24" w:space="0" w:color="auto"/>
              <w:left w:val="single" w:sz="24" w:space="0" w:color="auto"/>
              <w:bottom w:val="single" w:sz="24" w:space="0" w:color="auto"/>
              <w:right w:val="single" w:sz="24" w:space="0" w:color="auto"/>
              <w:tl2br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top w:val="single" w:sz="24" w:space="0" w:color="auto"/>
              <w:left w:val="single" w:sz="24" w:space="0" w:color="auto"/>
              <w:bottom w:val="single" w:sz="24" w:space="0" w:color="auto"/>
              <w:right w:val="single" w:sz="24" w:space="0" w:color="auto"/>
            </w:tcBorders>
          </w:tcPr>
          <w:p w:rsidR="00FB7BC7" w:rsidRPr="00FF49D9" w:rsidRDefault="00FB7BC7" w:rsidP="00915A8E">
            <w:pPr>
              <w:jc w:val="center"/>
              <w:rPr>
                <w:rFonts w:hAnsi="ＭＳ 明朝"/>
                <w:color w:val="000000"/>
                <w:sz w:val="22"/>
                <w:szCs w:val="22"/>
              </w:rPr>
            </w:pPr>
            <w:r w:rsidRPr="00FF49D9">
              <w:rPr>
                <w:rFonts w:hAnsi="ＭＳ 明朝" w:hint="eastAsia"/>
                <w:color w:val="000000"/>
                <w:sz w:val="22"/>
                <w:szCs w:val="22"/>
              </w:rPr>
              <w:t>資機材</w:t>
            </w:r>
          </w:p>
        </w:tc>
        <w:tc>
          <w:tcPr>
            <w:tcW w:w="1506" w:type="dxa"/>
            <w:tcBorders>
              <w:top w:val="single" w:sz="24" w:space="0" w:color="auto"/>
              <w:left w:val="single" w:sz="24" w:space="0" w:color="auto"/>
              <w:bottom w:val="single" w:sz="24" w:space="0" w:color="auto"/>
              <w:right w:val="single" w:sz="24" w:space="0" w:color="auto"/>
            </w:tcBorders>
          </w:tcPr>
          <w:p w:rsidR="00FB7BC7" w:rsidRPr="00FF49D9" w:rsidRDefault="00FB7BC7" w:rsidP="00915A8E">
            <w:pPr>
              <w:jc w:val="center"/>
              <w:rPr>
                <w:rFonts w:hAnsi="ＭＳ 明朝"/>
                <w:color w:val="000000"/>
                <w:sz w:val="22"/>
                <w:szCs w:val="22"/>
              </w:rPr>
            </w:pPr>
            <w:r w:rsidRPr="00FF49D9">
              <w:rPr>
                <w:rFonts w:hAnsi="ＭＳ 明朝" w:hint="eastAsia"/>
                <w:color w:val="000000"/>
                <w:sz w:val="22"/>
                <w:szCs w:val="22"/>
              </w:rPr>
              <w:t>数</w:t>
            </w:r>
          </w:p>
        </w:tc>
      </w:tr>
      <w:tr w:rsidR="00FB7BC7" w:rsidRPr="00FF49D9" w:rsidTr="00915A8E">
        <w:tc>
          <w:tcPr>
            <w:tcW w:w="1809" w:type="dxa"/>
            <w:vMerge w:val="restart"/>
            <w:tcBorders>
              <w:top w:val="single" w:sz="24" w:space="0" w:color="auto"/>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r w:rsidRPr="00FF49D9">
              <w:rPr>
                <w:rFonts w:hAnsi="ＭＳ 明朝" w:hint="eastAsia"/>
                <w:color w:val="000000"/>
                <w:sz w:val="22"/>
                <w:szCs w:val="22"/>
              </w:rPr>
              <w:t>平常時から用意しておく資機材</w:t>
            </w:r>
          </w:p>
        </w:tc>
        <w:tc>
          <w:tcPr>
            <w:tcW w:w="5387" w:type="dxa"/>
            <w:tcBorders>
              <w:top w:val="single" w:sz="24" w:space="0" w:color="auto"/>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柵</w:t>
            </w:r>
          </w:p>
        </w:tc>
        <w:tc>
          <w:tcPr>
            <w:tcW w:w="1506" w:type="dxa"/>
            <w:tcBorders>
              <w:top w:val="single" w:sz="24" w:space="0" w:color="auto"/>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ロープ</w:t>
            </w: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標識・掲示板</w:t>
            </w: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流出拡散防止用シート（仮設防油提）</w:t>
            </w: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油吸着マット</w:t>
            </w: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５０枚</w:t>
            </w: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アース</w:t>
            </w: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ＡＢＣ消火器</w:t>
            </w: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３本</w:t>
            </w: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可搬式給油設備（第三者機関による認定品）</w:t>
            </w: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１基</w:t>
            </w:r>
          </w:p>
        </w:tc>
      </w:tr>
      <w:tr w:rsidR="00FB7BC7" w:rsidRPr="00FF49D9" w:rsidTr="00915A8E">
        <w:trPr>
          <w:trHeight w:val="347"/>
        </w:trPr>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給油設備用架台及び衝突防止用ポール</w:t>
            </w: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r>
      <w:tr w:rsidR="00FB7BC7" w:rsidRPr="00FF49D9" w:rsidTr="00915A8E">
        <w:trPr>
          <w:trHeight w:val="347"/>
        </w:trPr>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発電機</w:t>
            </w: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r w:rsidRPr="00FF49D9">
              <w:rPr>
                <w:rFonts w:hAnsi="ＭＳ 明朝" w:hint="eastAsia"/>
                <w:color w:val="000000"/>
                <w:sz w:val="22"/>
                <w:szCs w:val="22"/>
              </w:rPr>
              <w:t>１基</w:t>
            </w:r>
          </w:p>
        </w:tc>
      </w:tr>
      <w:tr w:rsidR="00FB7BC7" w:rsidRPr="00FF49D9" w:rsidTr="00915A8E">
        <w:trPr>
          <w:trHeight w:val="347"/>
        </w:trPr>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r>
      <w:tr w:rsidR="00FB7BC7" w:rsidRPr="00FF49D9" w:rsidTr="00915A8E">
        <w:trPr>
          <w:trHeight w:val="373"/>
        </w:trPr>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c>
          <w:tcPr>
            <w:tcW w:w="1506" w:type="dxa"/>
            <w:tcBorders>
              <w:left w:val="single" w:sz="24" w:space="0" w:color="auto"/>
              <w:right w:val="single" w:sz="24" w:space="0" w:color="auto"/>
            </w:tcBorders>
          </w:tcPr>
          <w:p w:rsidR="00FB7BC7" w:rsidRPr="00FF49D9" w:rsidRDefault="00FB7BC7" w:rsidP="00915A8E">
            <w:pPr>
              <w:jc w:val="left"/>
              <w:rPr>
                <w:rFonts w:hAnsi="ＭＳ 明朝"/>
                <w:color w:val="000000"/>
                <w:sz w:val="22"/>
                <w:szCs w:val="22"/>
              </w:rPr>
            </w:pPr>
          </w:p>
        </w:tc>
      </w:tr>
      <w:tr w:rsidR="00FB7BC7" w:rsidRPr="00FF49D9" w:rsidTr="00915A8E">
        <w:tc>
          <w:tcPr>
            <w:tcW w:w="1809" w:type="dxa"/>
            <w:vMerge w:val="restart"/>
            <w:tcBorders>
              <w:top w:val="single" w:sz="24" w:space="0" w:color="auto"/>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r w:rsidRPr="00FF49D9">
              <w:rPr>
                <w:rFonts w:hAnsi="ＭＳ 明朝" w:hint="eastAsia"/>
                <w:color w:val="000000"/>
                <w:sz w:val="22"/>
                <w:szCs w:val="22"/>
              </w:rPr>
              <w:t>震災時手配する資機材</w:t>
            </w:r>
          </w:p>
        </w:tc>
        <w:tc>
          <w:tcPr>
            <w:tcW w:w="5387" w:type="dxa"/>
            <w:tcBorders>
              <w:top w:val="single" w:sz="24" w:space="0" w:color="auto"/>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1506" w:type="dxa"/>
            <w:tcBorders>
              <w:top w:val="single" w:sz="24" w:space="0" w:color="auto"/>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1506"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1506"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1506"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1506"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1506"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r>
      <w:tr w:rsidR="00FB7BC7" w:rsidRPr="00FF49D9" w:rsidTr="00915A8E">
        <w:tc>
          <w:tcPr>
            <w:tcW w:w="1809" w:type="dxa"/>
            <w:vMerge/>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1506" w:type="dxa"/>
            <w:tcBorders>
              <w:left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r>
      <w:tr w:rsidR="00FB7BC7" w:rsidRPr="00FF49D9" w:rsidTr="00915A8E">
        <w:tc>
          <w:tcPr>
            <w:tcW w:w="1809" w:type="dxa"/>
            <w:vMerge/>
            <w:tcBorders>
              <w:left w:val="single" w:sz="24" w:space="0" w:color="auto"/>
              <w:bottom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5387" w:type="dxa"/>
            <w:tcBorders>
              <w:left w:val="single" w:sz="24" w:space="0" w:color="auto"/>
              <w:bottom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c>
          <w:tcPr>
            <w:tcW w:w="1506" w:type="dxa"/>
            <w:tcBorders>
              <w:left w:val="single" w:sz="24" w:space="0" w:color="auto"/>
              <w:bottom w:val="single" w:sz="24" w:space="0" w:color="auto"/>
              <w:right w:val="single" w:sz="24" w:space="0" w:color="auto"/>
            </w:tcBorders>
          </w:tcPr>
          <w:p w:rsidR="00FB7BC7" w:rsidRPr="00FF49D9" w:rsidRDefault="00FB7BC7" w:rsidP="00915A8E">
            <w:pPr>
              <w:jc w:val="center"/>
              <w:rPr>
                <w:rFonts w:hAnsi="ＭＳ 明朝"/>
                <w:color w:val="000000"/>
                <w:sz w:val="22"/>
                <w:szCs w:val="22"/>
              </w:rPr>
            </w:pPr>
          </w:p>
        </w:tc>
      </w:tr>
    </w:tbl>
    <w:p w:rsidR="007A182C" w:rsidRPr="00FB7BC7" w:rsidRDefault="007A182C"/>
    <w:sectPr w:rsidR="007A182C" w:rsidRPr="00FB7B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C7"/>
    <w:rsid w:val="00430451"/>
    <w:rsid w:val="007A182C"/>
    <w:rsid w:val="00FB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E3E8BB-F414-43EF-A460-3D543FE7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BC7"/>
    <w:pPr>
      <w:widowControl w:val="0"/>
      <w:wordWrap w:val="0"/>
      <w:overflowPunct w:val="0"/>
      <w:autoSpaceDE w:val="0"/>
      <w:autoSpaceDN w:val="0"/>
      <w:jc w:val="both"/>
    </w:pPr>
    <w:rPr>
      <w:rFonts w:ascii="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BC7"/>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7BC7"/>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裕司 (314728)</dc:creator>
  <cp:keywords/>
  <dc:description/>
  <cp:lastModifiedBy>石川　裕司 (314728)</cp:lastModifiedBy>
  <cp:revision>2</cp:revision>
  <dcterms:created xsi:type="dcterms:W3CDTF">2022-03-28T02:51:00Z</dcterms:created>
  <dcterms:modified xsi:type="dcterms:W3CDTF">2022-03-28T03:47:00Z</dcterms:modified>
</cp:coreProperties>
</file>