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149A081F" w14:textId="397FBA29" w:rsidR="009B6EC9" w:rsidRPr="00373430" w:rsidRDefault="009B6EC9" w:rsidP="00373430">
      <w:pPr>
        <w:spacing w:beforeLines="50" w:before="18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CE53634" w:rsidR="009B6EC9" w:rsidRPr="00CF7704" w:rsidRDefault="00373430" w:rsidP="00373430">
      <w:pPr>
        <w:spacing w:line="360" w:lineRule="auto"/>
        <w:ind w:leftChars="100" w:left="220"/>
        <w:rPr>
          <w:sz w:val="24"/>
        </w:rPr>
      </w:pPr>
      <w:r w:rsidRPr="00373430">
        <w:rPr>
          <w:rFonts w:hint="eastAsia"/>
          <w:kern w:val="0"/>
          <w:sz w:val="24"/>
        </w:rPr>
        <w:t>教育文化センター（ソフィア・堺）に係るLED照明一式の賃貸借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73430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0793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dbfa511-8b8f-460f-853f-69fc11d60c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2025-10-14T08:23:00Z</dcterms:created>
  <dcterms:modified xsi:type="dcterms:W3CDTF">2025-10-15T02:49:00Z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